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69B8" w14:textId="57D1B19C" w:rsidR="00863204" w:rsidRDefault="009F2A1D" w:rsidP="002D0CC7">
      <w:pPr>
        <w:pStyle w:val="Titel"/>
        <w:jc w:val="center"/>
      </w:pPr>
      <w:r>
        <w:t>Betäubungsmittel</w:t>
      </w:r>
    </w:p>
    <w:p w14:paraId="7DA7F921" w14:textId="77777777" w:rsidR="002D0CC7" w:rsidRPr="002D0CC7" w:rsidRDefault="009F2A1D" w:rsidP="00312439">
      <w:pPr>
        <w:pStyle w:val="KeinLeerraum"/>
        <w:numPr>
          <w:ilvl w:val="0"/>
          <w:numId w:val="8"/>
        </w:numPr>
        <w:rPr>
          <w:rStyle w:val="berschrift2Zchn"/>
          <w:rFonts w:asciiTheme="minorHAnsi" w:eastAsiaTheme="minorHAnsi" w:hAnsiTheme="minorHAnsi" w:cstheme="minorBidi"/>
          <w:color w:val="auto"/>
          <w:sz w:val="24"/>
          <w:szCs w:val="24"/>
          <w:lang w:eastAsia="de-DE"/>
        </w:rPr>
      </w:pPr>
      <w:r w:rsidRPr="00312439">
        <w:rPr>
          <w:rStyle w:val="berschrift2Zchn"/>
        </w:rPr>
        <w:t>Zwec</w:t>
      </w:r>
      <w:r w:rsidR="002D0CC7">
        <w:rPr>
          <w:rStyle w:val="berschrift2Zchn"/>
        </w:rPr>
        <w:t>k</w:t>
      </w:r>
    </w:p>
    <w:p w14:paraId="310B0000" w14:textId="0DC2A26C" w:rsidR="00312439" w:rsidRPr="009F2A1D" w:rsidRDefault="009F2A1D" w:rsidP="008B7635">
      <w:pPr>
        <w:pStyle w:val="KeinLeerraum"/>
        <w:rPr>
          <w:lang w:eastAsia="de-DE"/>
        </w:rPr>
      </w:pPr>
      <w:r w:rsidRPr="009F2A1D">
        <w:rPr>
          <w:lang w:eastAsia="de-DE"/>
        </w:rPr>
        <w:t>Diese Arbeitsanleitung regelt den Umgang mit den Betäubungsmitteln.</w:t>
      </w:r>
    </w:p>
    <w:p w14:paraId="4931D031" w14:textId="77777777" w:rsidR="002D0CC7" w:rsidRPr="009F2A1D" w:rsidRDefault="002D0CC7" w:rsidP="009F2A1D">
      <w:pPr>
        <w:pStyle w:val="KeinLeerraum"/>
        <w:rPr>
          <w:lang w:eastAsia="de-DE"/>
        </w:rPr>
      </w:pPr>
    </w:p>
    <w:p w14:paraId="7D844DC2" w14:textId="17D2E3BA" w:rsidR="008B7635" w:rsidRDefault="008B7635" w:rsidP="008B7635">
      <w:pPr>
        <w:pStyle w:val="KeinLeerraum"/>
        <w:numPr>
          <w:ilvl w:val="0"/>
          <w:numId w:val="8"/>
        </w:numPr>
        <w:rPr>
          <w:lang w:eastAsia="de-DE"/>
        </w:rPr>
      </w:pPr>
      <w:r>
        <w:rPr>
          <w:rStyle w:val="berschrift2Zchn"/>
        </w:rPr>
        <w:t>Anwendungsbereich</w:t>
      </w:r>
    </w:p>
    <w:p w14:paraId="1ED9344B" w14:textId="42DEDBA4" w:rsidR="009F2A1D" w:rsidRDefault="009F2A1D" w:rsidP="008B7635">
      <w:pPr>
        <w:pStyle w:val="KeinLeerraum"/>
        <w:rPr>
          <w:lang w:eastAsia="de-DE"/>
        </w:rPr>
      </w:pPr>
      <w:r w:rsidRPr="009F2A1D">
        <w:rPr>
          <w:lang w:eastAsia="de-DE"/>
        </w:rPr>
        <w:t>Praxisapotheke</w:t>
      </w:r>
      <w:r w:rsidR="008B7635">
        <w:rPr>
          <w:lang w:eastAsia="de-DE"/>
        </w:rPr>
        <w:t xml:space="preserve"> und alle MA sowie IN, die damit arbeiten</w:t>
      </w:r>
    </w:p>
    <w:p w14:paraId="01D3F8FC" w14:textId="77777777" w:rsidR="005748BC" w:rsidRDefault="005748BC" w:rsidP="008B7635">
      <w:pPr>
        <w:pStyle w:val="KeinLeerraum"/>
        <w:rPr>
          <w:lang w:eastAsia="de-DE"/>
        </w:rPr>
      </w:pPr>
    </w:p>
    <w:p w14:paraId="66EE58F1" w14:textId="4606F983" w:rsidR="00E370F9" w:rsidRDefault="007F0839" w:rsidP="00E370F9">
      <w:pPr>
        <w:pStyle w:val="KeinLeerraum"/>
        <w:numPr>
          <w:ilvl w:val="0"/>
          <w:numId w:val="8"/>
        </w:numPr>
        <w:rPr>
          <w:lang w:eastAsia="de-DE"/>
        </w:rPr>
      </w:pPr>
      <w:r>
        <w:rPr>
          <w:rStyle w:val="berschrift2Zchn"/>
        </w:rPr>
        <w:t>Verantwortlichkeit</w:t>
      </w:r>
    </w:p>
    <w:p w14:paraId="1D58D80E" w14:textId="70A8D9AA" w:rsidR="00E370F9" w:rsidRDefault="007F0839" w:rsidP="00E370F9">
      <w:pPr>
        <w:pStyle w:val="KeinLeerraum"/>
        <w:rPr>
          <w:lang w:eastAsia="de-DE"/>
        </w:rPr>
      </w:pPr>
      <w:r>
        <w:rPr>
          <w:lang w:eastAsia="de-DE"/>
        </w:rPr>
        <w:t>Ärztliche Leitung</w:t>
      </w:r>
    </w:p>
    <w:p w14:paraId="6B6EA0B5" w14:textId="77777777" w:rsidR="00E370F9" w:rsidRDefault="00E370F9" w:rsidP="00E370F9">
      <w:pPr>
        <w:pStyle w:val="KeinLeerraum"/>
        <w:rPr>
          <w:lang w:eastAsia="de-DE"/>
        </w:rPr>
      </w:pPr>
    </w:p>
    <w:p w14:paraId="468B3B6C" w14:textId="4AC520FD" w:rsidR="008B7635" w:rsidRDefault="005748BC" w:rsidP="008B7635">
      <w:pPr>
        <w:pStyle w:val="KeinLeerraum"/>
        <w:rPr>
          <w:lang w:eastAsia="de-DE"/>
        </w:rPr>
      </w:pPr>
      <w:r>
        <w:rPr>
          <w:rStyle w:val="berschrift2Zchn"/>
        </w:rPr>
        <w:t>4</w:t>
      </w:r>
      <w:r w:rsidR="008B7635">
        <w:rPr>
          <w:rStyle w:val="berschrift2Zchn"/>
        </w:rPr>
        <w:t xml:space="preserve">. </w:t>
      </w:r>
      <w:r>
        <w:rPr>
          <w:rStyle w:val="berschrift2Zchn"/>
        </w:rPr>
        <w:t>Definitionen</w:t>
      </w:r>
      <w:r w:rsidR="008B7635" w:rsidRPr="009F2A1D">
        <w:rPr>
          <w:lang w:eastAsia="de-DE"/>
        </w:rPr>
        <w:br/>
      </w:r>
      <w:proofErr w:type="gramStart"/>
      <w:r w:rsidR="008B7635" w:rsidRPr="009F2A1D">
        <w:rPr>
          <w:lang w:eastAsia="de-DE"/>
        </w:rPr>
        <w:t>BTM</w:t>
      </w:r>
      <w:r w:rsidR="008B7635">
        <w:rPr>
          <w:lang w:eastAsia="de-DE"/>
        </w:rPr>
        <w:tab/>
      </w:r>
      <w:r w:rsidR="008B7635">
        <w:rPr>
          <w:lang w:eastAsia="de-DE"/>
        </w:rPr>
        <w:tab/>
      </w:r>
      <w:r w:rsidR="008B7635" w:rsidRPr="009F2A1D">
        <w:rPr>
          <w:lang w:eastAsia="de-DE"/>
        </w:rPr>
        <w:t>Betäubungsmittel</w:t>
      </w:r>
      <w:proofErr w:type="gramEnd"/>
      <w:r w:rsidR="008B7635" w:rsidRPr="009F2A1D">
        <w:rPr>
          <w:lang w:eastAsia="de-DE"/>
        </w:rPr>
        <w:br/>
      </w:r>
      <w:proofErr w:type="spellStart"/>
      <w:r w:rsidR="008B7635" w:rsidRPr="009F2A1D">
        <w:rPr>
          <w:lang w:eastAsia="de-DE"/>
        </w:rPr>
        <w:t>Tabl</w:t>
      </w:r>
      <w:proofErr w:type="spellEnd"/>
      <w:r w:rsidR="008B7635">
        <w:rPr>
          <w:lang w:eastAsia="de-DE"/>
        </w:rPr>
        <w:tab/>
      </w:r>
      <w:r w:rsidR="008B7635">
        <w:rPr>
          <w:lang w:eastAsia="de-DE"/>
        </w:rPr>
        <w:tab/>
      </w:r>
      <w:r w:rsidR="008B7635" w:rsidRPr="009F2A1D">
        <w:rPr>
          <w:lang w:eastAsia="de-DE"/>
        </w:rPr>
        <w:t>Tabletten</w:t>
      </w:r>
    </w:p>
    <w:p w14:paraId="5379ADC1" w14:textId="77777777" w:rsidR="00F1789A" w:rsidRDefault="00F1789A" w:rsidP="008B7635">
      <w:pPr>
        <w:pStyle w:val="KeinLeerraum"/>
        <w:rPr>
          <w:lang w:eastAsia="de-DE"/>
        </w:rPr>
      </w:pPr>
    </w:p>
    <w:p w14:paraId="35BEEE33" w14:textId="6F16E2BA" w:rsidR="00F1789A" w:rsidRDefault="00F1789A" w:rsidP="00F1789A">
      <w:pPr>
        <w:pStyle w:val="KeinLeerraum"/>
        <w:numPr>
          <w:ilvl w:val="0"/>
          <w:numId w:val="10"/>
        </w:numPr>
        <w:rPr>
          <w:lang w:eastAsia="de-DE"/>
        </w:rPr>
      </w:pPr>
      <w:r>
        <w:rPr>
          <w:rStyle w:val="berschrift2Zchn"/>
        </w:rPr>
        <w:t>Material und Ausrüstung</w:t>
      </w:r>
    </w:p>
    <w:p w14:paraId="78C4D92A" w14:textId="79DDC738" w:rsidR="00F1789A" w:rsidRDefault="00041829" w:rsidP="00F1789A">
      <w:pPr>
        <w:pStyle w:val="KeinLeerraum"/>
        <w:rPr>
          <w:lang w:eastAsia="de-DE"/>
        </w:rPr>
      </w:pPr>
      <w:r>
        <w:rPr>
          <w:lang w:eastAsia="de-DE"/>
        </w:rPr>
        <w:t>Betäubungsmittel, Medikamentensave und Praxisapotheke</w:t>
      </w:r>
    </w:p>
    <w:p w14:paraId="52F399D7" w14:textId="77777777" w:rsidR="008B7635" w:rsidRPr="009F2A1D" w:rsidRDefault="008B7635" w:rsidP="008B7635">
      <w:pPr>
        <w:pStyle w:val="KeinLeerraum"/>
        <w:rPr>
          <w:lang w:eastAsia="de-DE"/>
        </w:rPr>
      </w:pPr>
    </w:p>
    <w:p w14:paraId="635F6CBC" w14:textId="79773E0A" w:rsidR="009F2A1D" w:rsidRPr="009F2A1D" w:rsidRDefault="00041829" w:rsidP="009F2A1D">
      <w:pPr>
        <w:pStyle w:val="KeinLeerraum"/>
        <w:rPr>
          <w:lang w:eastAsia="de-DE"/>
        </w:rPr>
      </w:pPr>
      <w:r>
        <w:rPr>
          <w:rStyle w:val="berschrift2Zchn"/>
        </w:rPr>
        <w:t>6</w:t>
      </w:r>
      <w:r w:rsidR="009F2A1D" w:rsidRPr="00041829">
        <w:rPr>
          <w:rStyle w:val="berschrift2Zchn"/>
        </w:rPr>
        <w:t xml:space="preserve">. </w:t>
      </w:r>
      <w:r w:rsidR="00201D9E">
        <w:rPr>
          <w:rStyle w:val="berschrift2Zchn"/>
        </w:rPr>
        <w:t>Verfahrensbeschreibung</w:t>
      </w:r>
      <w:r w:rsidR="009F2A1D" w:rsidRPr="009F2A1D">
        <w:rPr>
          <w:lang w:eastAsia="de-DE"/>
        </w:rPr>
        <w:br/>
      </w:r>
      <w:r w:rsidR="00AD00E9" w:rsidRPr="00D909A1">
        <w:rPr>
          <w:rStyle w:val="berschrift4Zchn"/>
        </w:rPr>
        <w:t>6</w:t>
      </w:r>
      <w:r w:rsidR="009F2A1D" w:rsidRPr="00D909A1">
        <w:rPr>
          <w:rStyle w:val="berschrift4Zchn"/>
        </w:rPr>
        <w:t>.1 Lagerung von Betäubungsmitteln des Verzeichnis a</w:t>
      </w:r>
      <w:r w:rsidR="009F2A1D" w:rsidRPr="009F2A1D">
        <w:rPr>
          <w:lang w:eastAsia="de-DE"/>
        </w:rPr>
        <w:br/>
        <w:t>Die </w:t>
      </w:r>
      <w:r w:rsidR="009F2A1D" w:rsidRPr="00EB291B">
        <w:rPr>
          <w:lang w:eastAsia="de-DE"/>
        </w:rPr>
        <w:t>Betäubungsmittel müssen immer separat in einem Tresor oder abgeschlossenen Schrank, der mit dem Gebäude verbunden ist, gelagert werden</w:t>
      </w:r>
      <w:r w:rsidR="009F2A1D" w:rsidRPr="009F2A1D">
        <w:rPr>
          <w:lang w:eastAsia="de-DE"/>
        </w:rPr>
        <w:t xml:space="preserve">. </w:t>
      </w:r>
      <w:r w:rsidR="009E5AB4">
        <w:rPr>
          <w:lang w:eastAsia="de-DE"/>
        </w:rPr>
        <w:t>In unserem Fall ist der verschliessbare Medik</w:t>
      </w:r>
      <w:r w:rsidR="00290A37">
        <w:rPr>
          <w:lang w:eastAsia="de-DE"/>
        </w:rPr>
        <w:t>a</w:t>
      </w:r>
      <w:r w:rsidR="009E5AB4">
        <w:rPr>
          <w:lang w:eastAsia="de-DE"/>
        </w:rPr>
        <w:t>menten</w:t>
      </w:r>
      <w:r w:rsidR="00290A37">
        <w:rPr>
          <w:lang w:eastAsia="de-DE"/>
        </w:rPr>
        <w:t>ro</w:t>
      </w:r>
      <w:r w:rsidR="009E5AB4">
        <w:rPr>
          <w:lang w:eastAsia="de-DE"/>
        </w:rPr>
        <w:t>boter in der Apotheke</w:t>
      </w:r>
      <w:r w:rsidR="00290A37">
        <w:rPr>
          <w:lang w:eastAsia="de-DE"/>
        </w:rPr>
        <w:t xml:space="preserve"> der Lagerungsort der Medikamente.</w:t>
      </w:r>
      <w:r w:rsidR="00172BF7">
        <w:rPr>
          <w:lang w:eastAsia="de-DE"/>
        </w:rPr>
        <w:t xml:space="preserve"> Die Betäubungsmittelrezeptblöcke werden ebenfalls verschlossen in einem Schrank aufbewahrt.</w:t>
      </w:r>
    </w:p>
    <w:p w14:paraId="5EDB5A43" w14:textId="66FAB3DE" w:rsidR="009F2A1D" w:rsidRDefault="00D909A1" w:rsidP="009F2A1D">
      <w:pPr>
        <w:pStyle w:val="KeinLeerraum"/>
        <w:rPr>
          <w:lang w:eastAsia="de-DE"/>
        </w:rPr>
      </w:pPr>
      <w:r>
        <w:rPr>
          <w:noProof/>
          <w:lang w:eastAsia="de-DE"/>
        </w:rPr>
        <w:drawing>
          <wp:anchor distT="0" distB="0" distL="114300" distR="114300" simplePos="0" relativeHeight="251658240" behindDoc="0" locked="0" layoutInCell="1" allowOverlap="1" wp14:anchorId="03745781" wp14:editId="54780746">
            <wp:simplePos x="0" y="0"/>
            <wp:positionH relativeFrom="column">
              <wp:posOffset>-609600</wp:posOffset>
            </wp:positionH>
            <wp:positionV relativeFrom="paragraph">
              <wp:posOffset>680720</wp:posOffset>
            </wp:positionV>
            <wp:extent cx="6964680" cy="1729105"/>
            <wp:effectExtent l="0" t="0" r="0" b="0"/>
            <wp:wrapTopAndBottom/>
            <wp:docPr id="226307316" name="Grafik 1" descr="Ein Bild, das Text, Schrift, Quittung,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07316" name="Grafik 1" descr="Ein Bild, das Text, Schrift, Quittung, Screenshot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64680" cy="1729105"/>
                    </a:xfrm>
                    <a:prstGeom prst="rect">
                      <a:avLst/>
                    </a:prstGeom>
                  </pic:spPr>
                </pic:pic>
              </a:graphicData>
            </a:graphic>
            <wp14:sizeRelH relativeFrom="page">
              <wp14:pctWidth>0</wp14:pctWidth>
            </wp14:sizeRelH>
            <wp14:sizeRelV relativeFrom="page">
              <wp14:pctHeight>0</wp14:pctHeight>
            </wp14:sizeRelV>
          </wp:anchor>
        </w:drawing>
      </w:r>
      <w:r w:rsidR="009F2A1D" w:rsidRPr="009F2A1D">
        <w:rPr>
          <w:lang w:eastAsia="de-DE"/>
        </w:rPr>
        <w:t>Das Eidgenössische Departement des Inneren bezeichnet die kontrollierten Substanzen und bestimmt, welchen Kontrollmassnahmen sie unterliegen. Es hat dazu folgende Verzeichnisse erstellt:</w:t>
      </w:r>
    </w:p>
    <w:p w14:paraId="4AF80F46" w14:textId="77777777" w:rsidR="00D909A1" w:rsidRDefault="00D909A1" w:rsidP="009F2A1D">
      <w:pPr>
        <w:pStyle w:val="KeinLeerraum"/>
        <w:rPr>
          <w:lang w:eastAsia="de-DE"/>
        </w:rPr>
      </w:pPr>
    </w:p>
    <w:p w14:paraId="29116201" w14:textId="084C8092" w:rsidR="009F2A1D" w:rsidRPr="009F2A1D" w:rsidRDefault="00D909A1" w:rsidP="00D909A1">
      <w:pPr>
        <w:pStyle w:val="berschrift4"/>
        <w:rPr>
          <w:rFonts w:eastAsia="Times New Roman"/>
          <w:lang w:eastAsia="de-DE"/>
        </w:rPr>
      </w:pPr>
      <w:r>
        <w:rPr>
          <w:rFonts w:eastAsia="Times New Roman"/>
          <w:lang w:eastAsia="de-DE"/>
        </w:rPr>
        <w:t>6</w:t>
      </w:r>
      <w:r w:rsidR="009F2A1D" w:rsidRPr="009F2A1D">
        <w:rPr>
          <w:rFonts w:eastAsia="Times New Roman"/>
          <w:lang w:eastAsia="de-DE"/>
        </w:rPr>
        <w:t>.2. Betäubungsmittel-Ein- und Ausgänge</w:t>
      </w:r>
    </w:p>
    <w:p w14:paraId="1AE989DF" w14:textId="77777777" w:rsidR="009F2A1D" w:rsidRPr="009F2A1D" w:rsidRDefault="009F2A1D" w:rsidP="00594D25">
      <w:pPr>
        <w:pStyle w:val="KeinLeerraum"/>
        <w:rPr>
          <w:lang w:eastAsia="de-DE"/>
        </w:rPr>
      </w:pPr>
      <w:r w:rsidRPr="009F2A1D">
        <w:rPr>
          <w:lang w:eastAsia="de-DE"/>
        </w:rPr>
        <w:t xml:space="preserve">Für </w:t>
      </w:r>
      <w:proofErr w:type="gramStart"/>
      <w:r w:rsidRPr="009F2A1D">
        <w:rPr>
          <w:lang w:eastAsia="de-DE"/>
        </w:rPr>
        <w:t>BTM Bestellungen</w:t>
      </w:r>
      <w:proofErr w:type="gramEnd"/>
      <w:r w:rsidRPr="009F2A1D">
        <w:rPr>
          <w:lang w:eastAsia="de-DE"/>
        </w:rPr>
        <w:t xml:space="preserve"> beim Grossisten wird kein Betäubungsmittelrezept benötigt.</w:t>
      </w:r>
    </w:p>
    <w:p w14:paraId="0C5AEAC2" w14:textId="77777777" w:rsidR="009F2A1D" w:rsidRPr="009F2A1D" w:rsidRDefault="009F2A1D" w:rsidP="00594D25">
      <w:pPr>
        <w:pStyle w:val="KeinLeerraum"/>
        <w:rPr>
          <w:lang w:eastAsia="de-DE"/>
        </w:rPr>
      </w:pPr>
      <w:r w:rsidRPr="009F2A1D">
        <w:rPr>
          <w:lang w:eastAsia="de-DE"/>
        </w:rPr>
        <w:t>Für BTM muss nur eine Empfangsbestätigung ausgestellt werden, falls dies der Grossist verlangt. Diese wird direkt an den Lieferanten retourniert.</w:t>
      </w:r>
    </w:p>
    <w:p w14:paraId="16ECD78A" w14:textId="77777777" w:rsidR="009F2A1D" w:rsidRPr="009F2A1D" w:rsidRDefault="009F2A1D" w:rsidP="00594D25">
      <w:pPr>
        <w:pStyle w:val="KeinLeerraum"/>
        <w:rPr>
          <w:lang w:eastAsia="de-DE"/>
        </w:rPr>
      </w:pPr>
      <w:r w:rsidRPr="009F2A1D">
        <w:rPr>
          <w:lang w:eastAsia="de-DE"/>
        </w:rPr>
        <w:t>Bei der Abgabe an Patienten in der Arztpraxis braucht es kein Betäubungsmittelrezept.</w:t>
      </w:r>
    </w:p>
    <w:p w14:paraId="1715926A" w14:textId="1EDBD509" w:rsidR="009F2A1D" w:rsidRPr="009F2A1D" w:rsidRDefault="009F2A1D" w:rsidP="00594D25">
      <w:pPr>
        <w:pStyle w:val="KeinLeerraum"/>
        <w:rPr>
          <w:lang w:eastAsia="de-DE"/>
        </w:rPr>
      </w:pPr>
      <w:r w:rsidRPr="009F2A1D">
        <w:rPr>
          <w:lang w:eastAsia="de-DE"/>
        </w:rPr>
        <w:t>Über jedes Betäubungsmittel ist Buch zu führen.</w:t>
      </w:r>
    </w:p>
    <w:p w14:paraId="319EB8B6" w14:textId="4E2CC0BE" w:rsidR="009F2A1D" w:rsidRPr="009F2A1D" w:rsidRDefault="009F2A1D" w:rsidP="00594D25">
      <w:pPr>
        <w:pStyle w:val="KeinLeerraum"/>
        <w:rPr>
          <w:lang w:eastAsia="de-DE"/>
        </w:rPr>
      </w:pPr>
      <w:r w:rsidRPr="009F2A1D">
        <w:rPr>
          <w:lang w:eastAsia="de-DE"/>
        </w:rPr>
        <w:lastRenderedPageBreak/>
        <w:t>Für jede Dosierung des Verzeichnisses a wird pro Packungsgrösse und galenische Form eine separate</w:t>
      </w:r>
      <w:r w:rsidRPr="009F2A1D">
        <w:rPr>
          <w:b/>
          <w:bCs/>
          <w:lang w:eastAsia="de-DE"/>
        </w:rPr>
        <w:t> </w:t>
      </w:r>
      <w:r w:rsidRPr="005B1E12">
        <w:rPr>
          <w:lang w:eastAsia="de-DE"/>
        </w:rPr>
        <w:t>Betäubungsmittelkontrolle</w:t>
      </w:r>
      <w:r w:rsidRPr="009F2A1D">
        <w:rPr>
          <w:lang w:eastAsia="de-DE"/>
        </w:rPr>
        <w:t> geführt. Darin werden Eingang, Ausgang (Abgabe, Verfall), Bestand und verordnender Arzt eingetragen und der Eintrag visiert. Die beauftragte Person kontrolliert regelmässig den Bestand der Betäubungsmittel sowie deren Verfallsdaten, trägt die Resultate im </w:t>
      </w:r>
      <w:r w:rsidRPr="00BB120C">
        <w:rPr>
          <w:color w:val="000000" w:themeColor="text1"/>
          <w:lang w:eastAsia="de-DE"/>
        </w:rPr>
        <w:t>Formular Betäubungsmittelkontrolle</w:t>
      </w:r>
      <w:r w:rsidRPr="00BB120C">
        <w:rPr>
          <w:b/>
          <w:bCs/>
          <w:color w:val="000000" w:themeColor="text1"/>
          <w:lang w:eastAsia="de-DE"/>
        </w:rPr>
        <w:t> </w:t>
      </w:r>
      <w:r w:rsidRPr="009F2A1D">
        <w:rPr>
          <w:lang w:eastAsia="de-DE"/>
        </w:rPr>
        <w:t xml:space="preserve">ein und visiert den Eintrag. Die </w:t>
      </w:r>
      <w:r w:rsidR="00D422A7">
        <w:rPr>
          <w:lang w:eastAsia="de-DE"/>
        </w:rPr>
        <w:t xml:space="preserve">Einträge sowie </w:t>
      </w:r>
      <w:r w:rsidRPr="009F2A1D">
        <w:rPr>
          <w:lang w:eastAsia="de-DE"/>
        </w:rPr>
        <w:t xml:space="preserve">Visierung muss Dokumentenecht erfolgen, </w:t>
      </w:r>
      <w:proofErr w:type="spellStart"/>
      <w:r w:rsidRPr="009F2A1D">
        <w:rPr>
          <w:lang w:eastAsia="de-DE"/>
        </w:rPr>
        <w:t>dass</w:t>
      </w:r>
      <w:proofErr w:type="spellEnd"/>
      <w:r w:rsidRPr="009F2A1D">
        <w:rPr>
          <w:lang w:eastAsia="de-DE"/>
        </w:rPr>
        <w:t xml:space="preserve"> heisst, </w:t>
      </w:r>
      <w:r w:rsidR="00D422A7">
        <w:rPr>
          <w:lang w:eastAsia="de-DE"/>
        </w:rPr>
        <w:t>es</w:t>
      </w:r>
      <w:r w:rsidRPr="009F2A1D">
        <w:rPr>
          <w:lang w:eastAsia="de-DE"/>
        </w:rPr>
        <w:t xml:space="preserve"> kann nur mit einem Kugelschreiber erfolgen.</w:t>
      </w:r>
    </w:p>
    <w:p w14:paraId="3120ED8B" w14:textId="77777777" w:rsidR="009F2A1D" w:rsidRDefault="009F2A1D" w:rsidP="00594D25">
      <w:pPr>
        <w:pStyle w:val="KeinLeerraum"/>
        <w:rPr>
          <w:lang w:eastAsia="de-DE"/>
        </w:rPr>
      </w:pPr>
      <w:r w:rsidRPr="009F2A1D">
        <w:rPr>
          <w:lang w:eastAsia="de-DE"/>
        </w:rPr>
        <w:t>Zum Jahresbeginn erstellt die beauftragte Person eine Bilanz des Vorjahres. Die verantwortliche Person kontrolliert die Bilanz und unterschreibt diese. Sollte auf den Formularen ausreichend Platz vorhanden sein, kann die Jahresbilanz auf den während des Jahres bearbeiteten </w:t>
      </w:r>
      <w:r w:rsidRPr="009A0BA6">
        <w:rPr>
          <w:lang w:eastAsia="de-DE"/>
        </w:rPr>
        <w:t>Formular Betäubungsmittelkontrolle</w:t>
      </w:r>
      <w:r w:rsidRPr="009F2A1D">
        <w:rPr>
          <w:b/>
          <w:bCs/>
          <w:lang w:eastAsia="de-DE"/>
        </w:rPr>
        <w:t> </w:t>
      </w:r>
      <w:r w:rsidRPr="009F2A1D">
        <w:rPr>
          <w:lang w:eastAsia="de-DE"/>
        </w:rPr>
        <w:t>durchgeführt werden.</w:t>
      </w:r>
    </w:p>
    <w:p w14:paraId="25DF9109" w14:textId="77777777" w:rsidR="009A0BA6" w:rsidRPr="009F2A1D" w:rsidRDefault="009A0BA6" w:rsidP="00594D25">
      <w:pPr>
        <w:pStyle w:val="KeinLeerraum"/>
        <w:rPr>
          <w:lang w:eastAsia="de-DE"/>
        </w:rPr>
      </w:pPr>
    </w:p>
    <w:p w14:paraId="5745B5A7" w14:textId="77777777" w:rsidR="009F2A1D" w:rsidRPr="009F2A1D" w:rsidRDefault="009F2A1D" w:rsidP="00594D25">
      <w:pPr>
        <w:pStyle w:val="KeinLeerraum"/>
        <w:rPr>
          <w:lang w:eastAsia="de-DE"/>
        </w:rPr>
      </w:pPr>
      <w:r w:rsidRPr="009F2A1D">
        <w:rPr>
          <w:lang w:eastAsia="de-DE"/>
        </w:rPr>
        <w:t>Folgende Angaben enthält die Betäubungsmittelkontrolle:</w:t>
      </w:r>
    </w:p>
    <w:p w14:paraId="28569E70" w14:textId="77777777" w:rsidR="009F2A1D" w:rsidRPr="009F2A1D" w:rsidRDefault="009F2A1D" w:rsidP="009F2A1D">
      <w:pPr>
        <w:pStyle w:val="KeinLeerraum"/>
        <w:rPr>
          <w:lang w:eastAsia="de-DE"/>
        </w:rPr>
      </w:pPr>
      <w:r w:rsidRPr="009F2A1D">
        <w:rPr>
          <w:lang w:eastAsia="de-DE"/>
        </w:rPr>
        <w:t xml:space="preserve">a.       Lagerbestand am Jahresanfang (pro Medikament /Anzahl Packungen, </w:t>
      </w:r>
      <w:proofErr w:type="spellStart"/>
      <w:r w:rsidRPr="009F2A1D">
        <w:rPr>
          <w:lang w:eastAsia="de-DE"/>
        </w:rPr>
        <w:t>Tabl</w:t>
      </w:r>
      <w:proofErr w:type="spellEnd"/>
      <w:r w:rsidRPr="009F2A1D">
        <w:rPr>
          <w:lang w:eastAsia="de-DE"/>
        </w:rPr>
        <w:t>. Gramm etc.)</w:t>
      </w:r>
      <w:r w:rsidRPr="009F2A1D">
        <w:rPr>
          <w:lang w:eastAsia="de-DE"/>
        </w:rPr>
        <w:br/>
        <w:t xml:space="preserve">b.       Wareneingänge (Datum, Name der Lieferanten, Anzahl Packungen, </w:t>
      </w:r>
      <w:proofErr w:type="spellStart"/>
      <w:r w:rsidRPr="009F2A1D">
        <w:rPr>
          <w:lang w:eastAsia="de-DE"/>
        </w:rPr>
        <w:t>Tabl</w:t>
      </w:r>
      <w:proofErr w:type="spellEnd"/>
      <w:r w:rsidRPr="009F2A1D">
        <w:rPr>
          <w:lang w:eastAsia="de-DE"/>
        </w:rPr>
        <w:t>. Gramm etc.)</w:t>
      </w:r>
      <w:r w:rsidRPr="009F2A1D">
        <w:rPr>
          <w:lang w:eastAsia="de-DE"/>
        </w:rPr>
        <w:br/>
        <w:t xml:space="preserve">c.       Warenausgänge (Datum, Name Empfänger z.B. Patientenname, Anzahl Packungen, </w:t>
      </w:r>
      <w:proofErr w:type="spellStart"/>
      <w:r w:rsidRPr="009F2A1D">
        <w:rPr>
          <w:lang w:eastAsia="de-DE"/>
        </w:rPr>
        <w:t>Tabl</w:t>
      </w:r>
      <w:proofErr w:type="spellEnd"/>
      <w:r w:rsidRPr="009F2A1D">
        <w:rPr>
          <w:lang w:eastAsia="de-DE"/>
        </w:rPr>
        <w:t>. Gramm etc.)</w:t>
      </w:r>
      <w:r w:rsidRPr="009F2A1D">
        <w:rPr>
          <w:lang w:eastAsia="de-DE"/>
        </w:rPr>
        <w:br/>
        <w:t>d.       Lagerbestand nach jeder Bewegung (Ein- und Ausgänge)</w:t>
      </w:r>
      <w:r w:rsidRPr="009F2A1D">
        <w:rPr>
          <w:lang w:eastAsia="de-DE"/>
        </w:rPr>
        <w:br/>
        <w:t xml:space="preserve">e.       Lagerbestand am Jahresende (Anzahl Packungen, </w:t>
      </w:r>
      <w:proofErr w:type="spellStart"/>
      <w:r w:rsidRPr="009F2A1D">
        <w:rPr>
          <w:lang w:eastAsia="de-DE"/>
        </w:rPr>
        <w:t>Tabl</w:t>
      </w:r>
      <w:proofErr w:type="spellEnd"/>
      <w:r w:rsidRPr="009F2A1D">
        <w:rPr>
          <w:lang w:eastAsia="de-DE"/>
        </w:rPr>
        <w:t>. Gramm etc.). </w:t>
      </w:r>
    </w:p>
    <w:p w14:paraId="1E08EF34" w14:textId="77777777" w:rsidR="009F2A1D" w:rsidRPr="009F2A1D" w:rsidRDefault="009F2A1D" w:rsidP="009F2A1D">
      <w:pPr>
        <w:pStyle w:val="KeinLeerraum"/>
        <w:rPr>
          <w:lang w:eastAsia="de-DE"/>
        </w:rPr>
      </w:pPr>
      <w:r w:rsidRPr="009F2A1D">
        <w:rPr>
          <w:lang w:eastAsia="de-DE"/>
        </w:rPr>
        <w:t>Die Buchführung muss auf Ende Jahr abgeschlossen und von der verantwortlichen Person kontrolliert und unterzeichnet werden. Der Jahresabschluss muss nicht der Kantonalen Heilmittelkontrolle eingereicht werden, sondern im Betrieb jederzeit verfügbar sein und anlässlich einer Inspektion vorgewiesen werden.</w:t>
      </w:r>
    </w:p>
    <w:p w14:paraId="57CD606D" w14:textId="77777777" w:rsidR="009F2A1D" w:rsidRPr="009F2A1D" w:rsidRDefault="009F2A1D" w:rsidP="009F2A1D">
      <w:pPr>
        <w:pStyle w:val="KeinLeerraum"/>
        <w:rPr>
          <w:lang w:eastAsia="de-DE"/>
        </w:rPr>
      </w:pPr>
      <w:r w:rsidRPr="009F2A1D">
        <w:rPr>
          <w:lang w:eastAsia="de-DE"/>
        </w:rPr>
        <w:t>f.       Neues Jahr =&gt; Übertrag des Bestandes auf neuem Blatt für das neue Jahr (Muster siehe unten).</w:t>
      </w:r>
    </w:p>
    <w:p w14:paraId="7CF91AD3" w14:textId="77777777" w:rsidR="009F2A1D" w:rsidRPr="009F2A1D" w:rsidRDefault="009F2A1D" w:rsidP="009F2A1D">
      <w:pPr>
        <w:pStyle w:val="KeinLeerraum"/>
        <w:rPr>
          <w:lang w:eastAsia="de-DE"/>
        </w:rPr>
      </w:pPr>
      <w:r w:rsidRPr="009F2A1D">
        <w:rPr>
          <w:lang w:eastAsia="de-DE"/>
        </w:rPr>
        <w:t xml:space="preserve">Die gesamtverantwortliche Person muss die </w:t>
      </w:r>
      <w:proofErr w:type="spellStart"/>
      <w:r w:rsidRPr="009F2A1D">
        <w:rPr>
          <w:lang w:eastAsia="de-DE"/>
        </w:rPr>
        <w:t>Bestandeskontrolle</w:t>
      </w:r>
      <w:proofErr w:type="spellEnd"/>
      <w:r w:rsidRPr="009F2A1D">
        <w:rPr>
          <w:lang w:eastAsia="de-DE"/>
        </w:rPr>
        <w:t xml:space="preserve"> periodisch überprüfen und mindestens am Jahresende signieren.</w:t>
      </w:r>
    </w:p>
    <w:p w14:paraId="7B86F9B3" w14:textId="77777777" w:rsidR="009F2A1D" w:rsidRDefault="009F2A1D" w:rsidP="009F2A1D">
      <w:pPr>
        <w:pStyle w:val="KeinLeerraum"/>
        <w:rPr>
          <w:lang w:eastAsia="de-DE"/>
        </w:rPr>
      </w:pPr>
      <w:r w:rsidRPr="009F2A1D">
        <w:rPr>
          <w:lang w:eastAsia="de-DE"/>
        </w:rPr>
        <w:t>Die Lieferscheine für BTM der Verzeichnisse a und b müssen 10 Jahre aufbewahrt werden bzw. auch lesbar sein.</w:t>
      </w:r>
    </w:p>
    <w:p w14:paraId="268D7F31" w14:textId="77777777" w:rsidR="003D796A" w:rsidRPr="009F2A1D" w:rsidRDefault="003D796A" w:rsidP="009F2A1D">
      <w:pPr>
        <w:pStyle w:val="KeinLeerraum"/>
        <w:rPr>
          <w:lang w:eastAsia="de-DE"/>
        </w:rPr>
      </w:pPr>
    </w:p>
    <w:p w14:paraId="77D3CDB1" w14:textId="4902180B" w:rsidR="001B7F8C" w:rsidRDefault="009F2A1D" w:rsidP="009F2A1D">
      <w:pPr>
        <w:pStyle w:val="KeinLeerraum"/>
        <w:rPr>
          <w:lang w:eastAsia="de-DE"/>
        </w:rPr>
      </w:pPr>
      <w:r w:rsidRPr="009F2A1D">
        <w:rPr>
          <w:lang w:eastAsia="de-DE"/>
        </w:rPr>
        <w:t>Beispiel: Kontrolle der Betäubungsmittel Ein- und Ausgänge</w:t>
      </w:r>
      <w:r w:rsidR="00BA6901">
        <w:rPr>
          <w:noProof/>
          <w:lang w:eastAsia="de-DE"/>
        </w:rPr>
        <w:drawing>
          <wp:anchor distT="0" distB="0" distL="114300" distR="114300" simplePos="0" relativeHeight="251659264" behindDoc="0" locked="0" layoutInCell="1" allowOverlap="1" wp14:anchorId="084957C3" wp14:editId="175A1258">
            <wp:simplePos x="0" y="0"/>
            <wp:positionH relativeFrom="column">
              <wp:posOffset>-643469</wp:posOffset>
            </wp:positionH>
            <wp:positionV relativeFrom="paragraph">
              <wp:posOffset>188595</wp:posOffset>
            </wp:positionV>
            <wp:extent cx="7085965" cy="1939290"/>
            <wp:effectExtent l="0" t="0" r="635" b="3810"/>
            <wp:wrapTopAndBottom/>
            <wp:docPr id="1596970674" name="Grafik 2" descr="Ein Bild, das Text, Screenshot, Schrift,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70674" name="Grafik 2" descr="Ein Bild, das Text, Screenshot, Schrift, Zahl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85965" cy="1939290"/>
                    </a:xfrm>
                    <a:prstGeom prst="rect">
                      <a:avLst/>
                    </a:prstGeom>
                  </pic:spPr>
                </pic:pic>
              </a:graphicData>
            </a:graphic>
            <wp14:sizeRelH relativeFrom="page">
              <wp14:pctWidth>0</wp14:pctWidth>
            </wp14:sizeRelH>
            <wp14:sizeRelV relativeFrom="page">
              <wp14:pctHeight>0</wp14:pctHeight>
            </wp14:sizeRelV>
          </wp:anchor>
        </w:drawing>
      </w:r>
    </w:p>
    <w:p w14:paraId="3E8E97D1" w14:textId="36D936FA" w:rsidR="001B7F8C" w:rsidRDefault="001B7F8C" w:rsidP="009F2A1D">
      <w:pPr>
        <w:pStyle w:val="KeinLeerraum"/>
        <w:rPr>
          <w:lang w:eastAsia="de-DE"/>
        </w:rPr>
      </w:pPr>
    </w:p>
    <w:p w14:paraId="1696ECE7" w14:textId="77777777" w:rsidR="001B7F8C" w:rsidRDefault="001B7F8C" w:rsidP="009F2A1D">
      <w:pPr>
        <w:pStyle w:val="KeinLeerraum"/>
        <w:rPr>
          <w:lang w:eastAsia="de-DE"/>
        </w:rPr>
      </w:pPr>
    </w:p>
    <w:p w14:paraId="1856D194" w14:textId="370B0FA4" w:rsidR="009F2A1D" w:rsidRDefault="009F2A1D" w:rsidP="009F2A1D">
      <w:pPr>
        <w:pStyle w:val="KeinLeerraum"/>
        <w:rPr>
          <w:lang w:eastAsia="de-DE"/>
        </w:rPr>
      </w:pPr>
      <w:r w:rsidRPr="009F2A1D">
        <w:rPr>
          <w:lang w:eastAsia="de-DE"/>
        </w:rPr>
        <w:lastRenderedPageBreak/>
        <w:t>Für Arzneimittel des Verzeichnisses b ist eine elektronische Dokumentation der Abgabe (=Patientendossier im Sinne der Regeln der Guten Abgabepraxis für Heilmittel der Kantonsapothekervereinigung) ausreichend.</w:t>
      </w:r>
    </w:p>
    <w:p w14:paraId="47DB4F87" w14:textId="16ABF998" w:rsidR="005453F8" w:rsidRPr="009F2A1D" w:rsidRDefault="005453F8" w:rsidP="009F2A1D">
      <w:pPr>
        <w:pStyle w:val="KeinLeerraum"/>
        <w:rPr>
          <w:lang w:eastAsia="de-DE"/>
        </w:rPr>
      </w:pPr>
    </w:p>
    <w:p w14:paraId="743E77CB" w14:textId="691D3D85" w:rsidR="009F2A1D" w:rsidRPr="009F2A1D" w:rsidRDefault="00B65AC8" w:rsidP="009F2A1D">
      <w:pPr>
        <w:pStyle w:val="KeinLeerraum"/>
        <w:rPr>
          <w:lang w:eastAsia="de-DE"/>
        </w:rPr>
      </w:pPr>
      <w:r w:rsidRPr="00B65AC8">
        <w:rPr>
          <w:rStyle w:val="berschrift4Zchn"/>
        </w:rPr>
        <w:t>6.3</w:t>
      </w:r>
      <w:r w:rsidR="009F2A1D" w:rsidRPr="00B65AC8">
        <w:rPr>
          <w:rStyle w:val="berschrift4Zchn"/>
        </w:rPr>
        <w:t>. Vernichtung von Betäubungsmitteln</w:t>
      </w:r>
      <w:r w:rsidR="009F2A1D" w:rsidRPr="009F2A1D">
        <w:rPr>
          <w:lang w:eastAsia="de-DE"/>
        </w:rPr>
        <w:br/>
      </w:r>
      <w:r w:rsidR="009F2A1D" w:rsidRPr="00851293">
        <w:t xml:space="preserve">Angebrochene Packungen, bei denen der Lieferant nicht bekannt ist, oder Retouren von Patienten werden per Einschreiben zur Vernichtung der Kantonalen Heilmittelkontrolle zugestellt, der Lieferung ist ein Lieferschein (Siehe Homepage Heilmittelkontrolle des Kantons) beizulegen. Dies gilt auch </w:t>
      </w:r>
      <w:proofErr w:type="gramStart"/>
      <w:r w:rsidR="009F2A1D" w:rsidRPr="00851293">
        <w:t>für abgelaufene Betäubungsmittel</w:t>
      </w:r>
      <w:proofErr w:type="gramEnd"/>
      <w:r w:rsidR="009F2A1D" w:rsidRPr="00851293">
        <w:t xml:space="preserve"> welche von der Praxis nicht verkauft wurden. In der </w:t>
      </w:r>
      <w:proofErr w:type="spellStart"/>
      <w:r w:rsidR="009F2A1D" w:rsidRPr="00851293">
        <w:t>Bestandeskontrolle</w:t>
      </w:r>
      <w:proofErr w:type="spellEnd"/>
      <w:r w:rsidR="009F2A1D" w:rsidRPr="00851293">
        <w:t xml:space="preserve"> des Verzeichnis a, müssen die abgelaufenen Betäubungsmittel ebenfalls eingetragen werden. Der Beleg für das Einschreiben der Rücksendung an die Kantonale Heilmittelkontrolle, sollte hinter das passende Belegblatt /Formular Betäubungsmittelkontrolle abgelegt werden.</w:t>
      </w:r>
    </w:p>
    <w:p w14:paraId="0E3828D9" w14:textId="6BBD1E10" w:rsidR="009F2A1D" w:rsidRDefault="009F2A1D" w:rsidP="00F55D42">
      <w:pPr>
        <w:pStyle w:val="KeinLeerraum"/>
        <w:rPr>
          <w:lang w:eastAsia="de-DE"/>
        </w:rPr>
      </w:pPr>
      <w:r w:rsidRPr="009F2A1D">
        <w:rPr>
          <w:lang w:eastAsia="de-DE"/>
        </w:rPr>
        <w:t>Betäubungsmittel zum Vernichten (insbesondere Retouren von Patienten) müssen wie andere Betäubungsmittel getrennt von anderen Arzneimitteln und unter Verschluss gelagert werden.</w:t>
      </w:r>
    </w:p>
    <w:p w14:paraId="36E81895" w14:textId="56053BD8" w:rsidR="00897F9D" w:rsidRPr="00584B0D" w:rsidRDefault="00201D9E" w:rsidP="00B0146B">
      <w:pPr>
        <w:pStyle w:val="berschrift2"/>
      </w:pPr>
      <w:r>
        <w:rPr>
          <w:rFonts w:eastAsia="Aptos"/>
        </w:rPr>
        <w:t>7</w:t>
      </w:r>
      <w:r w:rsidR="00897F9D" w:rsidRPr="00584B0D">
        <w:rPr>
          <w:rFonts w:eastAsia="Aptos"/>
        </w:rPr>
        <w:t>. Qualitätskontrolle</w:t>
      </w:r>
    </w:p>
    <w:p w14:paraId="0103E5AC" w14:textId="57179DA9" w:rsidR="00897F9D" w:rsidRPr="00584B0D" w:rsidRDefault="00A82207" w:rsidP="00A7258C">
      <w:r>
        <w:t>Eine monatliche Kontrolle durch die beauftragte MPA erfolgt mit schriftlicher Bestätigung</w:t>
      </w:r>
      <w:r w:rsidR="00CA449B">
        <w:t xml:space="preserve"> (Visum auf Checkliste). </w:t>
      </w:r>
      <w:r w:rsidR="000221AB">
        <w:t xml:space="preserve">Zum Jahresende werden die Dokumente an die </w:t>
      </w:r>
      <w:r w:rsidR="009D10C8">
        <w:t>MPK</w:t>
      </w:r>
      <w:r w:rsidR="00F55D42">
        <w:t xml:space="preserve"> abgegeben und von ihr visiert.</w:t>
      </w:r>
    </w:p>
    <w:p w14:paraId="0D8EAD49" w14:textId="1E21209F" w:rsidR="00897F9D" w:rsidRPr="00584B0D" w:rsidRDefault="00201D9E" w:rsidP="00B0146B">
      <w:pPr>
        <w:pStyle w:val="berschrift2"/>
      </w:pPr>
      <w:r>
        <w:rPr>
          <w:rFonts w:eastAsia="Aptos"/>
        </w:rPr>
        <w:t>8</w:t>
      </w:r>
      <w:r w:rsidR="00897F9D" w:rsidRPr="00584B0D">
        <w:rPr>
          <w:rFonts w:eastAsia="Aptos"/>
        </w:rPr>
        <w:t>. Dokumentation und Aufzeichnungen</w:t>
      </w:r>
    </w:p>
    <w:p w14:paraId="458725A0" w14:textId="0B2D20B6" w:rsidR="001349E6" w:rsidRDefault="00533C53" w:rsidP="001349E6">
      <w:pPr>
        <w:pStyle w:val="KeinLeerraum"/>
      </w:pPr>
      <w:r>
        <w:t xml:space="preserve">Die Dokumentation erfolgt auf den angehängten Formularen, welche eingescannt </w:t>
      </w:r>
      <w:r w:rsidR="00A82207">
        <w:t xml:space="preserve">und elektronisch archiviert </w:t>
      </w:r>
      <w:r>
        <w:t>werden, sobald sie voll sind oder spätestens zu Jahresende.</w:t>
      </w:r>
    </w:p>
    <w:p w14:paraId="05214423" w14:textId="585B66E4" w:rsidR="00897F9D" w:rsidRPr="00584B0D" w:rsidRDefault="00201D9E" w:rsidP="00B0146B">
      <w:pPr>
        <w:pStyle w:val="berschrift2"/>
      </w:pPr>
      <w:r>
        <w:rPr>
          <w:rFonts w:eastAsia="Aptos"/>
        </w:rPr>
        <w:t>9</w:t>
      </w:r>
      <w:r w:rsidR="00897F9D" w:rsidRPr="00584B0D">
        <w:rPr>
          <w:rFonts w:eastAsia="Aptos"/>
        </w:rPr>
        <w:t>. Anhänge</w:t>
      </w:r>
    </w:p>
    <w:p w14:paraId="34D459C8" w14:textId="04BA6ACF" w:rsidR="00EC053D" w:rsidRDefault="00201D9E" w:rsidP="00780490">
      <w:r>
        <w:t xml:space="preserve">Formular </w:t>
      </w:r>
      <w:r w:rsidR="001349E6">
        <w:t xml:space="preserve">Kontrollblatt BTM </w:t>
      </w:r>
      <w:proofErr w:type="spellStart"/>
      <w:r w:rsidR="001349E6">
        <w:t>EinAusgänge</w:t>
      </w:r>
      <w:proofErr w:type="spellEnd"/>
    </w:p>
    <w:sectPr w:rsidR="00EC053D">
      <w:headerReference w:type="default" r:id="rId13"/>
      <w:footerReference w:type="even"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FDD6F" w14:textId="77777777" w:rsidR="00FC4909" w:rsidRDefault="00FC4909" w:rsidP="00863204">
      <w:pPr>
        <w:spacing w:line="240" w:lineRule="auto"/>
      </w:pPr>
      <w:r>
        <w:separator/>
      </w:r>
    </w:p>
  </w:endnote>
  <w:endnote w:type="continuationSeparator" w:id="0">
    <w:p w14:paraId="370003DC" w14:textId="77777777" w:rsidR="00FC4909" w:rsidRDefault="00FC4909" w:rsidP="00863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57731438"/>
      <w:docPartObj>
        <w:docPartGallery w:val="Page Numbers (Bottom of Page)"/>
        <w:docPartUnique/>
      </w:docPartObj>
    </w:sdtPr>
    <w:sdtEndPr>
      <w:rPr>
        <w:rStyle w:val="Seitenzahl"/>
      </w:rPr>
    </w:sdtEndPr>
    <w:sdtContent>
      <w:p w14:paraId="363AC6E9" w14:textId="465ABFE8" w:rsidR="00863204" w:rsidRDefault="00863204" w:rsidP="0052135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9848A34" w14:textId="77777777" w:rsidR="00863204" w:rsidRDefault="00863204" w:rsidP="008632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9222" w14:textId="54B06759"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Dokument:</w:t>
    </w:r>
    <w:r w:rsidR="00F74889">
      <w:rPr>
        <w:rFonts w:asciiTheme="minorHAnsi" w:hAnsiTheme="minorHAnsi"/>
        <w:sz w:val="15"/>
        <w:szCs w:val="15"/>
      </w:rPr>
      <w:tab/>
    </w:r>
    <w:r w:rsidR="00AD00E9">
      <w:rPr>
        <w:rFonts w:asciiTheme="minorHAnsi" w:hAnsiTheme="minorHAnsi"/>
        <w:sz w:val="15"/>
        <w:szCs w:val="15"/>
      </w:rPr>
      <w:t>Betäubungsmittel</w:t>
    </w:r>
    <w:r w:rsidRPr="00863204">
      <w:rPr>
        <w:rFonts w:asciiTheme="minorHAnsi" w:hAnsiTheme="minorHAnsi"/>
        <w:sz w:val="15"/>
        <w:szCs w:val="15"/>
      </w:rPr>
      <w:tab/>
    </w:r>
    <w:proofErr w:type="gramStart"/>
    <w:r w:rsidRPr="00863204">
      <w:rPr>
        <w:rFonts w:asciiTheme="minorHAnsi" w:hAnsiTheme="minorHAnsi"/>
        <w:sz w:val="15"/>
        <w:szCs w:val="15"/>
      </w:rPr>
      <w:t>Erstellt</w:t>
    </w:r>
    <w:proofErr w:type="gramEnd"/>
    <w:r w:rsidRPr="00863204">
      <w:rPr>
        <w:rFonts w:asciiTheme="minorHAnsi" w:hAnsiTheme="minorHAnsi"/>
        <w:sz w:val="15"/>
        <w:szCs w:val="15"/>
      </w:rPr>
      <w:t xml:space="preserve"> durch: </w:t>
    </w:r>
    <w:r w:rsidR="00F74889">
      <w:rPr>
        <w:rFonts w:asciiTheme="minorHAnsi" w:hAnsiTheme="minorHAnsi"/>
        <w:sz w:val="15"/>
        <w:szCs w:val="15"/>
      </w:rPr>
      <w:tab/>
      <w:t>Kim Balmer</w:t>
    </w:r>
  </w:p>
  <w:p w14:paraId="34999B3C" w14:textId="6B22EE91"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Version:</w:t>
    </w:r>
    <w:r>
      <w:rPr>
        <w:rFonts w:asciiTheme="minorHAnsi" w:hAnsiTheme="minorHAnsi"/>
        <w:sz w:val="15"/>
        <w:szCs w:val="15"/>
      </w:rPr>
      <w:t xml:space="preserve"> </w:t>
    </w:r>
    <w:r w:rsidR="00F74889">
      <w:rPr>
        <w:rFonts w:asciiTheme="minorHAnsi" w:hAnsiTheme="minorHAnsi"/>
        <w:sz w:val="15"/>
        <w:szCs w:val="15"/>
      </w:rPr>
      <w:tab/>
    </w:r>
    <w:r w:rsidR="00AD00E9">
      <w:rPr>
        <w:rFonts w:asciiTheme="minorHAnsi" w:hAnsiTheme="minorHAnsi"/>
        <w:sz w:val="15"/>
        <w:szCs w:val="15"/>
      </w:rPr>
      <w:t>1</w:t>
    </w:r>
    <w:r w:rsidRPr="00863204">
      <w:rPr>
        <w:rFonts w:asciiTheme="minorHAnsi" w:hAnsiTheme="minorHAnsi"/>
        <w:sz w:val="15"/>
        <w:szCs w:val="15"/>
      </w:rPr>
      <w:tab/>
      <w:t xml:space="preserve">Genehmigt von: </w:t>
    </w:r>
    <w:r w:rsidR="00F74889">
      <w:rPr>
        <w:rFonts w:asciiTheme="minorHAnsi" w:hAnsiTheme="minorHAnsi"/>
        <w:sz w:val="15"/>
        <w:szCs w:val="15"/>
      </w:rPr>
      <w:tab/>
    </w:r>
    <w:r>
      <w:rPr>
        <w:rFonts w:asciiTheme="minorHAnsi" w:hAnsiTheme="minorHAnsi"/>
        <w:sz w:val="15"/>
        <w:szCs w:val="15"/>
      </w:rPr>
      <w:t>Johannes Nürnberg</w:t>
    </w:r>
  </w:p>
  <w:p w14:paraId="0D1B9629" w14:textId="333BB955"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Datum:</w:t>
    </w:r>
    <w:r w:rsidR="00F74889">
      <w:rPr>
        <w:rFonts w:asciiTheme="minorHAnsi" w:hAnsiTheme="minorHAnsi"/>
        <w:sz w:val="15"/>
        <w:szCs w:val="15"/>
      </w:rPr>
      <w:t xml:space="preserve"> </w:t>
    </w:r>
    <w:r w:rsidR="00F74889">
      <w:rPr>
        <w:rFonts w:asciiTheme="minorHAnsi" w:hAnsiTheme="minorHAnsi"/>
        <w:sz w:val="15"/>
        <w:szCs w:val="15"/>
      </w:rPr>
      <w:tab/>
    </w:r>
    <w:r w:rsidR="00AD00E9">
      <w:rPr>
        <w:rFonts w:asciiTheme="minorHAnsi" w:hAnsiTheme="minorHAnsi"/>
        <w:sz w:val="15"/>
        <w:szCs w:val="15"/>
      </w:rPr>
      <w:t>24</w:t>
    </w:r>
    <w:r w:rsidR="00F74889">
      <w:rPr>
        <w:rFonts w:asciiTheme="minorHAnsi" w:hAnsiTheme="minorHAnsi"/>
        <w:sz w:val="15"/>
        <w:szCs w:val="15"/>
      </w:rPr>
      <w:t>.02.</w:t>
    </w:r>
    <w:r w:rsidR="00860C78">
      <w:rPr>
        <w:rFonts w:asciiTheme="minorHAnsi" w:hAnsiTheme="minorHAnsi"/>
        <w:sz w:val="15"/>
        <w:szCs w:val="15"/>
      </w:rPr>
      <w:t>20</w:t>
    </w:r>
    <w:r w:rsidR="00F74889">
      <w:rPr>
        <w:rFonts w:asciiTheme="minorHAnsi" w:hAnsiTheme="minorHAnsi"/>
        <w:sz w:val="15"/>
        <w:szCs w:val="15"/>
      </w:rPr>
      <w:t>25</w:t>
    </w:r>
    <w:r w:rsidRPr="00863204">
      <w:rPr>
        <w:rFonts w:asciiTheme="minorHAnsi" w:hAnsiTheme="minorHAnsi"/>
        <w:sz w:val="15"/>
        <w:szCs w:val="15"/>
      </w:rPr>
      <w:tab/>
      <w:t>Seite:</w:t>
    </w:r>
    <w:r w:rsidR="00F74889">
      <w:rPr>
        <w:rFonts w:asciiTheme="minorHAnsi" w:hAnsiTheme="minorHAnsi"/>
        <w:sz w:val="15"/>
        <w:szCs w:val="15"/>
      </w:rPr>
      <w:tab/>
    </w:r>
    <w:r w:rsidR="004A4B78" w:rsidRPr="004A4B78">
      <w:rPr>
        <w:rFonts w:asciiTheme="minorHAnsi" w:hAnsiTheme="minorHAnsi"/>
        <w:sz w:val="15"/>
        <w:szCs w:val="15"/>
        <w:lang w:val="de-DE"/>
      </w:rPr>
      <w:t xml:space="preserve">Seite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PAGE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1</w:t>
    </w:r>
    <w:r w:rsidR="004A4B78" w:rsidRPr="004A4B78">
      <w:rPr>
        <w:rFonts w:asciiTheme="minorHAnsi" w:hAnsiTheme="minorHAnsi"/>
        <w:b/>
        <w:bCs/>
        <w:sz w:val="15"/>
        <w:szCs w:val="15"/>
      </w:rPr>
      <w:fldChar w:fldCharType="end"/>
    </w:r>
    <w:r w:rsidR="004A4B78" w:rsidRPr="004A4B78">
      <w:rPr>
        <w:rFonts w:asciiTheme="minorHAnsi" w:hAnsiTheme="minorHAnsi"/>
        <w:sz w:val="15"/>
        <w:szCs w:val="15"/>
        <w:lang w:val="de-DE"/>
      </w:rPr>
      <w:t xml:space="preserve"> von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NUMPAGES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2</w:t>
    </w:r>
    <w:r w:rsidR="004A4B78" w:rsidRPr="004A4B78">
      <w:rPr>
        <w:rFonts w:asciiTheme="minorHAnsi" w:hAnsiTheme="minorHAnsi"/>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E4D32" w14:textId="77777777" w:rsidR="00FC4909" w:rsidRDefault="00FC4909" w:rsidP="00863204">
      <w:pPr>
        <w:spacing w:line="240" w:lineRule="auto"/>
      </w:pPr>
      <w:r>
        <w:separator/>
      </w:r>
    </w:p>
  </w:footnote>
  <w:footnote w:type="continuationSeparator" w:id="0">
    <w:p w14:paraId="50D02095" w14:textId="77777777" w:rsidR="00FC4909" w:rsidRDefault="00FC4909" w:rsidP="00863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DA7C" w14:textId="689FC4EF" w:rsidR="00863204" w:rsidRDefault="00863204">
    <w:pPr>
      <w:pStyle w:val="Kopfzeile"/>
    </w:pPr>
    <w:r>
      <w:rPr>
        <w:noProof/>
      </w:rPr>
      <w:drawing>
        <wp:anchor distT="0" distB="0" distL="114300" distR="114300" simplePos="0" relativeHeight="251659264" behindDoc="0" locked="0" layoutInCell="1" allowOverlap="1" wp14:anchorId="5452EACD" wp14:editId="7501E65D">
          <wp:simplePos x="0" y="0"/>
          <wp:positionH relativeFrom="column">
            <wp:posOffset>5306432</wp:posOffset>
          </wp:positionH>
          <wp:positionV relativeFrom="paragraph">
            <wp:posOffset>-78105</wp:posOffset>
          </wp:positionV>
          <wp:extent cx="402590" cy="262890"/>
          <wp:effectExtent l="0" t="0" r="3810" b="3810"/>
          <wp:wrapThrough wrapText="bothSides">
            <wp:wrapPolygon edited="0">
              <wp:start x="4088" y="0"/>
              <wp:lineTo x="0" y="1043"/>
              <wp:lineTo x="0" y="9391"/>
              <wp:lineTo x="4088" y="16696"/>
              <wp:lineTo x="4088" y="20870"/>
              <wp:lineTo x="21123" y="20870"/>
              <wp:lineTo x="21123" y="2087"/>
              <wp:lineTo x="8858" y="0"/>
              <wp:lineTo x="4088" y="0"/>
            </wp:wrapPolygon>
          </wp:wrapThrough>
          <wp:docPr id="472795899" name="Grafik 1" descr="Das neue Schweizer Praxismodell für Selbstständ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neue Schweizer Praxismodell für Selbstständi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26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4692"/>
    <w:multiLevelType w:val="hybridMultilevel"/>
    <w:tmpl w:val="55B095EE"/>
    <w:lvl w:ilvl="0" w:tplc="0E9615D0">
      <w:start w:val="3"/>
      <w:numFmt w:val="decimal"/>
      <w:lvlText w:val="%1."/>
      <w:lvlJc w:val="left"/>
      <w:pPr>
        <w:ind w:left="360" w:hanging="360"/>
      </w:pPr>
      <w:rPr>
        <w:rFonts w:asciiTheme="majorHAnsi" w:eastAsiaTheme="majorEastAsia" w:hAnsiTheme="majorHAnsi" w:cstheme="majorBidi" w:hint="default"/>
        <w:color w:val="0F4761" w:themeColor="accent1" w:themeShade="BF"/>
        <w:sz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79D0E9D"/>
    <w:multiLevelType w:val="hybridMultilevel"/>
    <w:tmpl w:val="BB48415E"/>
    <w:lvl w:ilvl="0" w:tplc="7D94FC68">
      <w:start w:val="1"/>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57F11A6"/>
    <w:multiLevelType w:val="hybridMultilevel"/>
    <w:tmpl w:val="6616F1CC"/>
    <w:lvl w:ilvl="0" w:tplc="54DCE262">
      <w:start w:val="1"/>
      <w:numFmt w:val="decimal"/>
      <w:lvlText w:val="%1."/>
      <w:lvlJc w:val="left"/>
      <w:pPr>
        <w:ind w:left="360" w:hanging="360"/>
      </w:pPr>
      <w:rPr>
        <w:rFonts w:asciiTheme="majorHAnsi" w:eastAsiaTheme="majorEastAsia" w:hAnsiTheme="majorHAnsi" w:cstheme="majorBidi" w:hint="default"/>
        <w:color w:val="0F4761" w:themeColor="accent1" w:themeShade="BF"/>
        <w:sz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6D4239A"/>
    <w:multiLevelType w:val="hybridMultilevel"/>
    <w:tmpl w:val="ED2C7ACE"/>
    <w:lvl w:ilvl="0" w:tplc="614E8050">
      <w:start w:val="5"/>
      <w:numFmt w:val="decimal"/>
      <w:lvlText w:val="%1."/>
      <w:lvlJc w:val="left"/>
      <w:pPr>
        <w:ind w:left="360" w:hanging="360"/>
      </w:pPr>
      <w:rPr>
        <w:rFonts w:asciiTheme="majorHAnsi" w:eastAsiaTheme="majorEastAsia" w:hAnsiTheme="majorHAnsi" w:cstheme="majorBidi" w:hint="default"/>
        <w:color w:val="0F4761" w:themeColor="accent1" w:themeShade="BF"/>
        <w:sz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E784665"/>
    <w:multiLevelType w:val="hybridMultilevel"/>
    <w:tmpl w:val="1F86B1A2"/>
    <w:lvl w:ilvl="0" w:tplc="9606DA88">
      <w:start w:val="1"/>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E962630"/>
    <w:multiLevelType w:val="multilevel"/>
    <w:tmpl w:val="4ED6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87423"/>
    <w:multiLevelType w:val="multilevel"/>
    <w:tmpl w:val="7EE4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86FCF"/>
    <w:multiLevelType w:val="multilevel"/>
    <w:tmpl w:val="48A2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494BF"/>
    <w:multiLevelType w:val="hybridMultilevel"/>
    <w:tmpl w:val="C12C35BC"/>
    <w:lvl w:ilvl="0" w:tplc="BC24675E">
      <w:start w:val="1"/>
      <w:numFmt w:val="bullet"/>
      <w:lvlText w:val=""/>
      <w:lvlJc w:val="left"/>
      <w:pPr>
        <w:ind w:left="720" w:hanging="360"/>
      </w:pPr>
      <w:rPr>
        <w:rFonts w:ascii="Symbol" w:hAnsi="Symbol" w:hint="default"/>
      </w:rPr>
    </w:lvl>
    <w:lvl w:ilvl="1" w:tplc="E758CFA0">
      <w:start w:val="1"/>
      <w:numFmt w:val="bullet"/>
      <w:lvlText w:val="o"/>
      <w:lvlJc w:val="left"/>
      <w:pPr>
        <w:ind w:left="1440" w:hanging="360"/>
      </w:pPr>
      <w:rPr>
        <w:rFonts w:ascii="Courier New" w:hAnsi="Courier New" w:hint="default"/>
      </w:rPr>
    </w:lvl>
    <w:lvl w:ilvl="2" w:tplc="CFACB7C8">
      <w:start w:val="1"/>
      <w:numFmt w:val="bullet"/>
      <w:lvlText w:val=""/>
      <w:lvlJc w:val="left"/>
      <w:pPr>
        <w:ind w:left="2160" w:hanging="360"/>
      </w:pPr>
      <w:rPr>
        <w:rFonts w:ascii="Wingdings" w:hAnsi="Wingdings" w:hint="default"/>
      </w:rPr>
    </w:lvl>
    <w:lvl w:ilvl="3" w:tplc="1D72166A">
      <w:start w:val="1"/>
      <w:numFmt w:val="bullet"/>
      <w:lvlText w:val=""/>
      <w:lvlJc w:val="left"/>
      <w:pPr>
        <w:ind w:left="2880" w:hanging="360"/>
      </w:pPr>
      <w:rPr>
        <w:rFonts w:ascii="Symbol" w:hAnsi="Symbol" w:hint="default"/>
      </w:rPr>
    </w:lvl>
    <w:lvl w:ilvl="4" w:tplc="572E16D6">
      <w:start w:val="1"/>
      <w:numFmt w:val="bullet"/>
      <w:lvlText w:val="o"/>
      <w:lvlJc w:val="left"/>
      <w:pPr>
        <w:ind w:left="3600" w:hanging="360"/>
      </w:pPr>
      <w:rPr>
        <w:rFonts w:ascii="Courier New" w:hAnsi="Courier New" w:hint="default"/>
      </w:rPr>
    </w:lvl>
    <w:lvl w:ilvl="5" w:tplc="989C2DE8">
      <w:start w:val="1"/>
      <w:numFmt w:val="bullet"/>
      <w:lvlText w:val=""/>
      <w:lvlJc w:val="left"/>
      <w:pPr>
        <w:ind w:left="4320" w:hanging="360"/>
      </w:pPr>
      <w:rPr>
        <w:rFonts w:ascii="Wingdings" w:hAnsi="Wingdings" w:hint="default"/>
      </w:rPr>
    </w:lvl>
    <w:lvl w:ilvl="6" w:tplc="A246C874">
      <w:start w:val="1"/>
      <w:numFmt w:val="bullet"/>
      <w:lvlText w:val=""/>
      <w:lvlJc w:val="left"/>
      <w:pPr>
        <w:ind w:left="5040" w:hanging="360"/>
      </w:pPr>
      <w:rPr>
        <w:rFonts w:ascii="Symbol" w:hAnsi="Symbol" w:hint="default"/>
      </w:rPr>
    </w:lvl>
    <w:lvl w:ilvl="7" w:tplc="C1A0B65E">
      <w:start w:val="1"/>
      <w:numFmt w:val="bullet"/>
      <w:lvlText w:val="o"/>
      <w:lvlJc w:val="left"/>
      <w:pPr>
        <w:ind w:left="5760" w:hanging="360"/>
      </w:pPr>
      <w:rPr>
        <w:rFonts w:ascii="Courier New" w:hAnsi="Courier New" w:hint="default"/>
      </w:rPr>
    </w:lvl>
    <w:lvl w:ilvl="8" w:tplc="CD269FAA">
      <w:start w:val="1"/>
      <w:numFmt w:val="bullet"/>
      <w:lvlText w:val=""/>
      <w:lvlJc w:val="left"/>
      <w:pPr>
        <w:ind w:left="6480" w:hanging="360"/>
      </w:pPr>
      <w:rPr>
        <w:rFonts w:ascii="Wingdings" w:hAnsi="Wingdings" w:hint="default"/>
      </w:rPr>
    </w:lvl>
  </w:abstractNum>
  <w:abstractNum w:abstractNumId="9" w15:restartNumberingAfterBreak="0">
    <w:nsid w:val="76A9993E"/>
    <w:multiLevelType w:val="hybridMultilevel"/>
    <w:tmpl w:val="A5AA107E"/>
    <w:lvl w:ilvl="0" w:tplc="35D44E50">
      <w:start w:val="1"/>
      <w:numFmt w:val="bullet"/>
      <w:lvlText w:val=""/>
      <w:lvlJc w:val="left"/>
      <w:pPr>
        <w:ind w:left="720" w:hanging="360"/>
      </w:pPr>
      <w:rPr>
        <w:rFonts w:ascii="Symbol" w:hAnsi="Symbol" w:hint="default"/>
      </w:rPr>
    </w:lvl>
    <w:lvl w:ilvl="1" w:tplc="AD644B16">
      <w:start w:val="1"/>
      <w:numFmt w:val="bullet"/>
      <w:lvlText w:val="o"/>
      <w:lvlJc w:val="left"/>
      <w:pPr>
        <w:ind w:left="1440" w:hanging="360"/>
      </w:pPr>
      <w:rPr>
        <w:rFonts w:ascii="Courier New" w:hAnsi="Courier New" w:hint="default"/>
      </w:rPr>
    </w:lvl>
    <w:lvl w:ilvl="2" w:tplc="F9E69992">
      <w:start w:val="1"/>
      <w:numFmt w:val="bullet"/>
      <w:lvlText w:val=""/>
      <w:lvlJc w:val="left"/>
      <w:pPr>
        <w:ind w:left="2160" w:hanging="360"/>
      </w:pPr>
      <w:rPr>
        <w:rFonts w:ascii="Wingdings" w:hAnsi="Wingdings" w:hint="default"/>
      </w:rPr>
    </w:lvl>
    <w:lvl w:ilvl="3" w:tplc="F6FE3860">
      <w:start w:val="1"/>
      <w:numFmt w:val="bullet"/>
      <w:lvlText w:val=""/>
      <w:lvlJc w:val="left"/>
      <w:pPr>
        <w:ind w:left="2880" w:hanging="360"/>
      </w:pPr>
      <w:rPr>
        <w:rFonts w:ascii="Symbol" w:hAnsi="Symbol" w:hint="default"/>
      </w:rPr>
    </w:lvl>
    <w:lvl w:ilvl="4" w:tplc="3F68E606">
      <w:start w:val="1"/>
      <w:numFmt w:val="bullet"/>
      <w:lvlText w:val="o"/>
      <w:lvlJc w:val="left"/>
      <w:pPr>
        <w:ind w:left="3600" w:hanging="360"/>
      </w:pPr>
      <w:rPr>
        <w:rFonts w:ascii="Courier New" w:hAnsi="Courier New" w:hint="default"/>
      </w:rPr>
    </w:lvl>
    <w:lvl w:ilvl="5" w:tplc="FF1438AC">
      <w:start w:val="1"/>
      <w:numFmt w:val="bullet"/>
      <w:lvlText w:val=""/>
      <w:lvlJc w:val="left"/>
      <w:pPr>
        <w:ind w:left="4320" w:hanging="360"/>
      </w:pPr>
      <w:rPr>
        <w:rFonts w:ascii="Wingdings" w:hAnsi="Wingdings" w:hint="default"/>
      </w:rPr>
    </w:lvl>
    <w:lvl w:ilvl="6" w:tplc="67442616">
      <w:start w:val="1"/>
      <w:numFmt w:val="bullet"/>
      <w:lvlText w:val=""/>
      <w:lvlJc w:val="left"/>
      <w:pPr>
        <w:ind w:left="5040" w:hanging="360"/>
      </w:pPr>
      <w:rPr>
        <w:rFonts w:ascii="Symbol" w:hAnsi="Symbol" w:hint="default"/>
      </w:rPr>
    </w:lvl>
    <w:lvl w:ilvl="7" w:tplc="7F0C6A0C">
      <w:start w:val="1"/>
      <w:numFmt w:val="bullet"/>
      <w:lvlText w:val="o"/>
      <w:lvlJc w:val="left"/>
      <w:pPr>
        <w:ind w:left="5760" w:hanging="360"/>
      </w:pPr>
      <w:rPr>
        <w:rFonts w:ascii="Courier New" w:hAnsi="Courier New" w:hint="default"/>
      </w:rPr>
    </w:lvl>
    <w:lvl w:ilvl="8" w:tplc="EB1A0D88">
      <w:start w:val="1"/>
      <w:numFmt w:val="bullet"/>
      <w:lvlText w:val=""/>
      <w:lvlJc w:val="left"/>
      <w:pPr>
        <w:ind w:left="6480" w:hanging="360"/>
      </w:pPr>
      <w:rPr>
        <w:rFonts w:ascii="Wingdings" w:hAnsi="Wingdings" w:hint="default"/>
      </w:rPr>
    </w:lvl>
  </w:abstractNum>
  <w:num w:numId="1" w16cid:durableId="706375340">
    <w:abstractNumId w:val="8"/>
  </w:num>
  <w:num w:numId="2" w16cid:durableId="1339385068">
    <w:abstractNumId w:val="9"/>
  </w:num>
  <w:num w:numId="3" w16cid:durableId="1533300162">
    <w:abstractNumId w:val="4"/>
  </w:num>
  <w:num w:numId="4" w16cid:durableId="1258513789">
    <w:abstractNumId w:val="1"/>
  </w:num>
  <w:num w:numId="5" w16cid:durableId="1116024947">
    <w:abstractNumId w:val="5"/>
  </w:num>
  <w:num w:numId="6" w16cid:durableId="1669288785">
    <w:abstractNumId w:val="7"/>
  </w:num>
  <w:num w:numId="7" w16cid:durableId="1754431075">
    <w:abstractNumId w:val="6"/>
  </w:num>
  <w:num w:numId="8" w16cid:durableId="574700808">
    <w:abstractNumId w:val="2"/>
  </w:num>
  <w:num w:numId="9" w16cid:durableId="1686592985">
    <w:abstractNumId w:val="0"/>
  </w:num>
  <w:num w:numId="10" w16cid:durableId="324628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04"/>
    <w:rsid w:val="000158D2"/>
    <w:rsid w:val="000221AB"/>
    <w:rsid w:val="00041829"/>
    <w:rsid w:val="000725A8"/>
    <w:rsid w:val="000878D1"/>
    <w:rsid w:val="001349E6"/>
    <w:rsid w:val="00172BF7"/>
    <w:rsid w:val="001B7F8C"/>
    <w:rsid w:val="00201D9E"/>
    <w:rsid w:val="002841A1"/>
    <w:rsid w:val="00286236"/>
    <w:rsid w:val="00290A37"/>
    <w:rsid w:val="002D0CC7"/>
    <w:rsid w:val="00312439"/>
    <w:rsid w:val="00346CB6"/>
    <w:rsid w:val="003D796A"/>
    <w:rsid w:val="003E4277"/>
    <w:rsid w:val="004517BF"/>
    <w:rsid w:val="004572F1"/>
    <w:rsid w:val="00457D6A"/>
    <w:rsid w:val="00466007"/>
    <w:rsid w:val="004A4B78"/>
    <w:rsid w:val="004A4DA0"/>
    <w:rsid w:val="004B43E7"/>
    <w:rsid w:val="004D6075"/>
    <w:rsid w:val="00533C53"/>
    <w:rsid w:val="005453F8"/>
    <w:rsid w:val="005748BC"/>
    <w:rsid w:val="00594D25"/>
    <w:rsid w:val="005B1E12"/>
    <w:rsid w:val="005C28BF"/>
    <w:rsid w:val="006667F4"/>
    <w:rsid w:val="007403BB"/>
    <w:rsid w:val="00753D89"/>
    <w:rsid w:val="00780490"/>
    <w:rsid w:val="007B0E75"/>
    <w:rsid w:val="007C42C8"/>
    <w:rsid w:val="007F0839"/>
    <w:rsid w:val="007F20F9"/>
    <w:rsid w:val="00846A4C"/>
    <w:rsid w:val="00851293"/>
    <w:rsid w:val="008569A5"/>
    <w:rsid w:val="00860C78"/>
    <w:rsid w:val="00863204"/>
    <w:rsid w:val="00897F9D"/>
    <w:rsid w:val="008B7635"/>
    <w:rsid w:val="009A0BA6"/>
    <w:rsid w:val="009D10C8"/>
    <w:rsid w:val="009E5AB4"/>
    <w:rsid w:val="009F2A1D"/>
    <w:rsid w:val="009F5557"/>
    <w:rsid w:val="00A64472"/>
    <w:rsid w:val="00A7258C"/>
    <w:rsid w:val="00A7455C"/>
    <w:rsid w:val="00A82207"/>
    <w:rsid w:val="00AA296C"/>
    <w:rsid w:val="00AA6036"/>
    <w:rsid w:val="00AD00E9"/>
    <w:rsid w:val="00AF4E4D"/>
    <w:rsid w:val="00B0146B"/>
    <w:rsid w:val="00B137AC"/>
    <w:rsid w:val="00B41999"/>
    <w:rsid w:val="00B65AC8"/>
    <w:rsid w:val="00BA6901"/>
    <w:rsid w:val="00BB120C"/>
    <w:rsid w:val="00BC07E7"/>
    <w:rsid w:val="00C03204"/>
    <w:rsid w:val="00C131A0"/>
    <w:rsid w:val="00C26302"/>
    <w:rsid w:val="00C80D15"/>
    <w:rsid w:val="00CA449B"/>
    <w:rsid w:val="00D03A79"/>
    <w:rsid w:val="00D422A7"/>
    <w:rsid w:val="00D7335E"/>
    <w:rsid w:val="00D909A1"/>
    <w:rsid w:val="00DB18A7"/>
    <w:rsid w:val="00DC7AEB"/>
    <w:rsid w:val="00E370F9"/>
    <w:rsid w:val="00E50C86"/>
    <w:rsid w:val="00E6705B"/>
    <w:rsid w:val="00EB291B"/>
    <w:rsid w:val="00EC053D"/>
    <w:rsid w:val="00EE5181"/>
    <w:rsid w:val="00F1789A"/>
    <w:rsid w:val="00F55D42"/>
    <w:rsid w:val="00F62CFA"/>
    <w:rsid w:val="00F74889"/>
    <w:rsid w:val="00F77798"/>
    <w:rsid w:val="00FC49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1194"/>
  <w15:chartTrackingRefBased/>
  <w15:docId w15:val="{488DF7BA-9E04-BC46-9ECC-3E36FFAD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204"/>
    <w:pPr>
      <w:spacing w:after="0"/>
    </w:pPr>
  </w:style>
  <w:style w:type="paragraph" w:styleId="berschrift1">
    <w:name w:val="heading 1"/>
    <w:basedOn w:val="Standard"/>
    <w:next w:val="Standard"/>
    <w:link w:val="berschrift1Zchn"/>
    <w:uiPriority w:val="9"/>
    <w:qFormat/>
    <w:rsid w:val="00863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63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8632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8632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32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320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320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320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320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32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632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632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8632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32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32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32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32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3204"/>
    <w:rPr>
      <w:rFonts w:eastAsiaTheme="majorEastAsia" w:cstheme="majorBidi"/>
      <w:color w:val="272727" w:themeColor="text1" w:themeTint="D8"/>
    </w:rPr>
  </w:style>
  <w:style w:type="paragraph" w:styleId="Titel">
    <w:name w:val="Title"/>
    <w:basedOn w:val="Standard"/>
    <w:next w:val="Standard"/>
    <w:link w:val="TitelZchn"/>
    <w:uiPriority w:val="10"/>
    <w:qFormat/>
    <w:rsid w:val="00863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32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32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32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32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3204"/>
    <w:rPr>
      <w:i/>
      <w:iCs/>
      <w:color w:val="404040" w:themeColor="text1" w:themeTint="BF"/>
    </w:rPr>
  </w:style>
  <w:style w:type="paragraph" w:styleId="Listenabsatz">
    <w:name w:val="List Paragraph"/>
    <w:basedOn w:val="Standard"/>
    <w:uiPriority w:val="34"/>
    <w:qFormat/>
    <w:rsid w:val="00863204"/>
    <w:pPr>
      <w:ind w:left="720"/>
      <w:contextualSpacing/>
    </w:pPr>
  </w:style>
  <w:style w:type="character" w:styleId="IntensiveHervorhebung">
    <w:name w:val="Intense Emphasis"/>
    <w:basedOn w:val="Absatz-Standardschriftart"/>
    <w:uiPriority w:val="21"/>
    <w:qFormat/>
    <w:rsid w:val="00863204"/>
    <w:rPr>
      <w:i/>
      <w:iCs/>
      <w:color w:val="0F4761" w:themeColor="accent1" w:themeShade="BF"/>
    </w:rPr>
  </w:style>
  <w:style w:type="paragraph" w:styleId="IntensivesZitat">
    <w:name w:val="Intense Quote"/>
    <w:basedOn w:val="Standard"/>
    <w:next w:val="Standard"/>
    <w:link w:val="IntensivesZitatZchn"/>
    <w:uiPriority w:val="30"/>
    <w:qFormat/>
    <w:rsid w:val="00863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3204"/>
    <w:rPr>
      <w:i/>
      <w:iCs/>
      <w:color w:val="0F4761" w:themeColor="accent1" w:themeShade="BF"/>
    </w:rPr>
  </w:style>
  <w:style w:type="character" w:styleId="IntensiverVerweis">
    <w:name w:val="Intense Reference"/>
    <w:basedOn w:val="Absatz-Standardschriftart"/>
    <w:uiPriority w:val="32"/>
    <w:qFormat/>
    <w:rsid w:val="00863204"/>
    <w:rPr>
      <w:b/>
      <w:bCs/>
      <w:smallCaps/>
      <w:color w:val="0F4761" w:themeColor="accent1" w:themeShade="BF"/>
      <w:spacing w:val="5"/>
    </w:rPr>
  </w:style>
  <w:style w:type="paragraph" w:styleId="Kopfzeile">
    <w:name w:val="header"/>
    <w:basedOn w:val="Standard"/>
    <w:link w:val="KopfzeileZchn"/>
    <w:uiPriority w:val="99"/>
    <w:unhideWhenUsed/>
    <w:rsid w:val="0086320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3204"/>
  </w:style>
  <w:style w:type="paragraph" w:styleId="Fuzeile">
    <w:name w:val="footer"/>
    <w:basedOn w:val="Standard"/>
    <w:link w:val="FuzeileZchn"/>
    <w:uiPriority w:val="99"/>
    <w:unhideWhenUsed/>
    <w:rsid w:val="0086320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3204"/>
  </w:style>
  <w:style w:type="character" w:styleId="Seitenzahl">
    <w:name w:val="page number"/>
    <w:basedOn w:val="Absatz-Standardschriftart"/>
    <w:uiPriority w:val="99"/>
    <w:semiHidden/>
    <w:unhideWhenUsed/>
    <w:rsid w:val="00863204"/>
  </w:style>
  <w:style w:type="paragraph" w:customStyle="1" w:styleId="paragraph">
    <w:name w:val="paragraph"/>
    <w:basedOn w:val="Standard"/>
    <w:rsid w:val="00863204"/>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contentcontrolboundarysink">
    <w:name w:val="contentcontrolboundarysink"/>
    <w:basedOn w:val="Absatz-Standardschriftart"/>
    <w:rsid w:val="00863204"/>
  </w:style>
  <w:style w:type="character" w:customStyle="1" w:styleId="scxw123682405">
    <w:name w:val="scxw123682405"/>
    <w:basedOn w:val="Absatz-Standardschriftart"/>
    <w:rsid w:val="00863204"/>
  </w:style>
  <w:style w:type="character" w:customStyle="1" w:styleId="eop">
    <w:name w:val="eop"/>
    <w:basedOn w:val="Absatz-Standardschriftart"/>
    <w:rsid w:val="00863204"/>
  </w:style>
  <w:style w:type="character" w:customStyle="1" w:styleId="normaltextrun">
    <w:name w:val="normaltextrun"/>
    <w:basedOn w:val="Absatz-Standardschriftart"/>
    <w:rsid w:val="00863204"/>
  </w:style>
  <w:style w:type="character" w:customStyle="1" w:styleId="tabchar">
    <w:name w:val="tabchar"/>
    <w:basedOn w:val="Absatz-Standardschriftart"/>
    <w:rsid w:val="00863204"/>
  </w:style>
  <w:style w:type="paragraph" w:styleId="StandardWeb">
    <w:name w:val="Normal (Web)"/>
    <w:basedOn w:val="Standard"/>
    <w:uiPriority w:val="99"/>
    <w:semiHidden/>
    <w:unhideWhenUsed/>
    <w:rsid w:val="009F2A1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9F2A1D"/>
    <w:rPr>
      <w:b/>
      <w:bCs/>
    </w:rPr>
  </w:style>
  <w:style w:type="character" w:customStyle="1" w:styleId="apple-converted-space">
    <w:name w:val="apple-converted-space"/>
    <w:basedOn w:val="Absatz-Standardschriftart"/>
    <w:rsid w:val="009F2A1D"/>
  </w:style>
  <w:style w:type="paragraph" w:styleId="KeinLeerraum">
    <w:name w:val="No Spacing"/>
    <w:uiPriority w:val="1"/>
    <w:qFormat/>
    <w:rsid w:val="009F2A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773147">
      <w:bodyDiv w:val="1"/>
      <w:marLeft w:val="0"/>
      <w:marRight w:val="0"/>
      <w:marTop w:val="0"/>
      <w:marBottom w:val="0"/>
      <w:divBdr>
        <w:top w:val="none" w:sz="0" w:space="0" w:color="auto"/>
        <w:left w:val="none" w:sz="0" w:space="0" w:color="auto"/>
        <w:bottom w:val="none" w:sz="0" w:space="0" w:color="auto"/>
        <w:right w:val="none" w:sz="0" w:space="0" w:color="auto"/>
      </w:divBdr>
      <w:divsChild>
        <w:div w:id="470900934">
          <w:marLeft w:val="0"/>
          <w:marRight w:val="0"/>
          <w:marTop w:val="0"/>
          <w:marBottom w:val="0"/>
          <w:divBdr>
            <w:top w:val="none" w:sz="0" w:space="0" w:color="auto"/>
            <w:left w:val="none" w:sz="0" w:space="0" w:color="auto"/>
            <w:bottom w:val="none" w:sz="0" w:space="0" w:color="auto"/>
            <w:right w:val="none" w:sz="0" w:space="0" w:color="auto"/>
          </w:divBdr>
        </w:div>
        <w:div w:id="539392029">
          <w:marLeft w:val="0"/>
          <w:marRight w:val="0"/>
          <w:marTop w:val="0"/>
          <w:marBottom w:val="0"/>
          <w:divBdr>
            <w:top w:val="none" w:sz="0" w:space="0" w:color="auto"/>
            <w:left w:val="none" w:sz="0" w:space="0" w:color="auto"/>
            <w:bottom w:val="none" w:sz="0" w:space="0" w:color="auto"/>
            <w:right w:val="none" w:sz="0" w:space="0" w:color="auto"/>
          </w:divBdr>
        </w:div>
        <w:div w:id="272983779">
          <w:marLeft w:val="0"/>
          <w:marRight w:val="0"/>
          <w:marTop w:val="0"/>
          <w:marBottom w:val="0"/>
          <w:divBdr>
            <w:top w:val="none" w:sz="0" w:space="0" w:color="auto"/>
            <w:left w:val="none" w:sz="0" w:space="0" w:color="auto"/>
            <w:bottom w:val="none" w:sz="0" w:space="0" w:color="auto"/>
            <w:right w:val="none" w:sz="0" w:space="0" w:color="auto"/>
          </w:divBdr>
        </w:div>
        <w:div w:id="1079182258">
          <w:marLeft w:val="0"/>
          <w:marRight w:val="0"/>
          <w:marTop w:val="0"/>
          <w:marBottom w:val="0"/>
          <w:divBdr>
            <w:top w:val="none" w:sz="0" w:space="0" w:color="auto"/>
            <w:left w:val="none" w:sz="0" w:space="0" w:color="auto"/>
            <w:bottom w:val="none" w:sz="0" w:space="0" w:color="auto"/>
            <w:right w:val="none" w:sz="0" w:space="0" w:color="auto"/>
          </w:divBdr>
        </w:div>
      </w:divsChild>
    </w:div>
    <w:div w:id="1665358453">
      <w:bodyDiv w:val="1"/>
      <w:marLeft w:val="0"/>
      <w:marRight w:val="0"/>
      <w:marTop w:val="0"/>
      <w:marBottom w:val="0"/>
      <w:divBdr>
        <w:top w:val="none" w:sz="0" w:space="0" w:color="auto"/>
        <w:left w:val="none" w:sz="0" w:space="0" w:color="auto"/>
        <w:bottom w:val="none" w:sz="0" w:space="0" w:color="auto"/>
        <w:right w:val="none" w:sz="0" w:space="0" w:color="auto"/>
      </w:divBdr>
    </w:div>
    <w:div w:id="1700861142">
      <w:bodyDiv w:val="1"/>
      <w:marLeft w:val="0"/>
      <w:marRight w:val="0"/>
      <w:marTop w:val="0"/>
      <w:marBottom w:val="0"/>
      <w:divBdr>
        <w:top w:val="none" w:sz="0" w:space="0" w:color="auto"/>
        <w:left w:val="none" w:sz="0" w:space="0" w:color="auto"/>
        <w:bottom w:val="none" w:sz="0" w:space="0" w:color="auto"/>
        <w:right w:val="none" w:sz="0" w:space="0" w:color="auto"/>
      </w:divBdr>
      <w:divsChild>
        <w:div w:id="240261754">
          <w:marLeft w:val="0"/>
          <w:marRight w:val="0"/>
          <w:marTop w:val="0"/>
          <w:marBottom w:val="0"/>
          <w:divBdr>
            <w:top w:val="none" w:sz="0" w:space="0" w:color="auto"/>
            <w:left w:val="none" w:sz="0" w:space="0" w:color="auto"/>
            <w:bottom w:val="none" w:sz="0" w:space="0" w:color="auto"/>
            <w:right w:val="none" w:sz="0" w:space="0" w:color="auto"/>
          </w:divBdr>
          <w:divsChild>
            <w:div w:id="10534291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96fd79-98ba-4f65-8f1c-dd325b00f6f8">
      <Terms xmlns="http://schemas.microsoft.com/office/infopath/2007/PartnerControls"/>
    </lcf76f155ced4ddcb4097134ff3c332f>
    <TaxCatchAll xmlns="0b44a7fb-96c0-43ce-b64e-30896d2833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F394FA53047014F89ABD98BB940B8ED" ma:contentTypeVersion="11" ma:contentTypeDescription="Ein neues Dokument erstellen." ma:contentTypeScope="" ma:versionID="9d237a070fd09dcdc5240a7d3c7babb7">
  <xsd:schema xmlns:xsd="http://www.w3.org/2001/XMLSchema" xmlns:xs="http://www.w3.org/2001/XMLSchema" xmlns:p="http://schemas.microsoft.com/office/2006/metadata/properties" xmlns:ns2="ca96fd79-98ba-4f65-8f1c-dd325b00f6f8" xmlns:ns3="0b44a7fb-96c0-43ce-b64e-30896d283378" targetNamespace="http://schemas.microsoft.com/office/2006/metadata/properties" ma:root="true" ma:fieldsID="1af983753e80105d89bc18c78bdda109" ns2:_="" ns3:_="">
    <xsd:import namespace="ca96fd79-98ba-4f65-8f1c-dd325b00f6f8"/>
    <xsd:import namespace="0b44a7fb-96c0-43ce-b64e-30896d283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fd79-98ba-4f65-8f1c-dd325b00f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7d9b149-5699-408d-a1f7-8a04f3dbb9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4a7fb-96c0-43ce-b64e-30896d2833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f783a-91d1-4102-985f-37f13d6108ff}" ma:internalName="TaxCatchAll" ma:showField="CatchAllData" ma:web="0b44a7fb-96c0-43ce-b64e-30896d283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5B9B0-E49D-194A-9C9E-CF5DB8304318}">
  <ds:schemaRefs>
    <ds:schemaRef ds:uri="http://schemas.openxmlformats.org/officeDocument/2006/bibliography"/>
  </ds:schemaRefs>
</ds:datastoreItem>
</file>

<file path=customXml/itemProps2.xml><?xml version="1.0" encoding="utf-8"?>
<ds:datastoreItem xmlns:ds="http://schemas.openxmlformats.org/officeDocument/2006/customXml" ds:itemID="{66868457-EF4D-4D85-9992-F93AE16FAA0C}">
  <ds:schemaRefs>
    <ds:schemaRef ds:uri="http://schemas.microsoft.com/office/2006/metadata/properties"/>
    <ds:schemaRef ds:uri="http://schemas.microsoft.com/office/infopath/2007/PartnerControls"/>
    <ds:schemaRef ds:uri="ca96fd79-98ba-4f65-8f1c-dd325b00f6f8"/>
    <ds:schemaRef ds:uri="0b44a7fb-96c0-43ce-b64e-30896d283378"/>
  </ds:schemaRefs>
</ds:datastoreItem>
</file>

<file path=customXml/itemProps3.xml><?xml version="1.0" encoding="utf-8"?>
<ds:datastoreItem xmlns:ds="http://schemas.openxmlformats.org/officeDocument/2006/customXml" ds:itemID="{967450C7-B1E9-461A-9112-A64A4122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fd79-98ba-4f65-8f1c-dd325b00f6f8"/>
    <ds:schemaRef ds:uri="0b44a7fb-96c0-43ce-b64e-30896d283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5824B-A5CD-4AD5-A2C8-BFBA5EEAD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Balmer</dc:creator>
  <cp:keywords/>
  <dc:description/>
  <cp:lastModifiedBy>Kim Balmer</cp:lastModifiedBy>
  <cp:revision>48</cp:revision>
  <dcterms:created xsi:type="dcterms:W3CDTF">2025-02-24T13:21:00Z</dcterms:created>
  <dcterms:modified xsi:type="dcterms:W3CDTF">2025-03-14T12:56:00Z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0x010100EF394FA53047014F89ABD98BB940B8ED</vt:lpwstr>
  </property>
  <property fmtid="{D5CDD505-2E9C-101B-9397-08002B2CF9AE}" pid="3" name="MediaServiceImageTags">
    <vt:lpwstr/>
  </property>
</Properties>
</file>