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21000" w14:textId="7DC0A5B9" w:rsidR="00863204" w:rsidRDefault="000B359C" w:rsidP="00437E0F">
      <w:pPr>
        <w:pStyle w:val="Titel"/>
        <w:jc w:val="center"/>
      </w:pPr>
      <w:r>
        <w:t>Medikamentenbestellung</w:t>
      </w:r>
      <w:r w:rsidR="006B0457">
        <w:t xml:space="preserve"> und -abgabe</w:t>
      </w:r>
    </w:p>
    <w:p w14:paraId="4A28B7E3" w14:textId="0EAEE7BA" w:rsidR="00895870" w:rsidRDefault="00437E0F" w:rsidP="00895870">
      <w:pPr>
        <w:rPr>
          <w:lang w:eastAsia="de-DE"/>
        </w:rPr>
      </w:pPr>
      <w:r w:rsidRPr="00437E0F">
        <w:rPr>
          <w:rStyle w:val="berschrift2Zchn"/>
          <w:lang w:eastAsia="de-DE"/>
        </w:rPr>
        <w:t>Zweck</w:t>
      </w:r>
    </w:p>
    <w:p w14:paraId="0184070E" w14:textId="20A1581A" w:rsidR="00C4609D" w:rsidRDefault="00C4609D" w:rsidP="00477FFB">
      <w:pPr>
        <w:pStyle w:val="KeinLeerraum"/>
        <w:rPr>
          <w:lang w:eastAsia="de-DE"/>
        </w:rPr>
      </w:pPr>
      <w:r>
        <w:t xml:space="preserve">Diese SOP regelt die Bestellung, </w:t>
      </w:r>
      <w:r w:rsidR="00CB3E43">
        <w:t>Eingangskontrolle</w:t>
      </w:r>
      <w:r w:rsidR="009942BD">
        <w:t xml:space="preserve"> von Lieferungen, Überprüfung von Verkehrsfähigkeit, </w:t>
      </w:r>
      <w:r>
        <w:t>Lagerung und Abgabe von Medikamenten durch die Nutzerschaft der Viva Hub AG</w:t>
      </w:r>
      <w:r w:rsidR="009942BD">
        <w:t xml:space="preserve"> und </w:t>
      </w:r>
      <w:r w:rsidR="00392A35">
        <w:t xml:space="preserve">die </w:t>
      </w:r>
      <w:r w:rsidR="009942BD">
        <w:t>Retouren</w:t>
      </w:r>
      <w:r>
        <w:t>. Sie beschreibt die Verantwortlichkeiten der Nutzerschaft des Angebots von VH und stellt sicher, dass alle rechtlichen und organisatorischen Anforderungen erfüllt werden.</w:t>
      </w:r>
    </w:p>
    <w:p w14:paraId="0500BC98" w14:textId="77777777" w:rsidR="00C4609D" w:rsidRPr="00437E0F" w:rsidRDefault="00C4609D" w:rsidP="00477FFB">
      <w:pPr>
        <w:pStyle w:val="KeinLeerraum"/>
        <w:rPr>
          <w:lang w:eastAsia="de-DE"/>
        </w:rPr>
      </w:pPr>
    </w:p>
    <w:p w14:paraId="66AD5B77" w14:textId="77777777" w:rsidR="00774903" w:rsidRDefault="00437E0F" w:rsidP="00477FFB">
      <w:pPr>
        <w:pStyle w:val="KeinLeerraum"/>
        <w:rPr>
          <w:lang w:eastAsia="de-DE"/>
        </w:rPr>
      </w:pPr>
      <w:r w:rsidRPr="00437E0F">
        <w:rPr>
          <w:rStyle w:val="berschrift2Zchn"/>
          <w:lang w:eastAsia="de-DE"/>
        </w:rPr>
        <w:t>Abkürzungen</w:t>
      </w:r>
      <w:r w:rsidRPr="00437E0F">
        <w:rPr>
          <w:lang w:eastAsia="de-DE"/>
        </w:rPr>
        <w:br/>
        <w:t>Der Begriff Heilmittel umfasst Arzneimittel und Medizinprodukte.</w:t>
      </w:r>
    </w:p>
    <w:p w14:paraId="1C560F0E" w14:textId="77777777" w:rsidR="00774903" w:rsidRDefault="00437E0F" w:rsidP="00477FFB">
      <w:pPr>
        <w:pStyle w:val="KeinLeerraum"/>
        <w:rPr>
          <w:lang w:val="en-US" w:eastAsia="de-DE"/>
        </w:rPr>
      </w:pPr>
      <w:r w:rsidRPr="00437E0F">
        <w:rPr>
          <w:lang w:val="en-US" w:eastAsia="de-DE"/>
        </w:rPr>
        <w:t>BM</w:t>
      </w:r>
      <w:r w:rsidR="00774903">
        <w:rPr>
          <w:lang w:val="en-US" w:eastAsia="de-DE"/>
        </w:rPr>
        <w:tab/>
      </w:r>
      <w:r w:rsidRPr="00437E0F">
        <w:rPr>
          <w:lang w:val="en-US" w:eastAsia="de-DE"/>
        </w:rPr>
        <w:t>Betäubungsmittel</w:t>
      </w:r>
      <w:r w:rsidRPr="00437E0F">
        <w:rPr>
          <w:lang w:val="en-US" w:eastAsia="de-DE"/>
        </w:rPr>
        <w:br/>
        <w:t>FEFO</w:t>
      </w:r>
      <w:r w:rsidR="00774903">
        <w:rPr>
          <w:lang w:val="en-US" w:eastAsia="de-DE"/>
        </w:rPr>
        <w:tab/>
      </w:r>
      <w:r w:rsidRPr="00437E0F">
        <w:rPr>
          <w:lang w:val="en-US" w:eastAsia="de-DE"/>
        </w:rPr>
        <w:t>First Expired - First Out</w:t>
      </w:r>
    </w:p>
    <w:p w14:paraId="74AEF50D" w14:textId="0699220A" w:rsidR="002B271C" w:rsidRDefault="002B271C" w:rsidP="00477FFB">
      <w:pPr>
        <w:pStyle w:val="KeinLeerraum"/>
        <w:rPr>
          <w:lang w:eastAsia="de-DE"/>
        </w:rPr>
      </w:pPr>
      <w:r w:rsidRPr="002B271C">
        <w:rPr>
          <w:lang w:eastAsia="de-DE"/>
        </w:rPr>
        <w:t>IN</w:t>
      </w:r>
      <w:r w:rsidRPr="002B271C">
        <w:rPr>
          <w:lang w:eastAsia="de-DE"/>
        </w:rPr>
        <w:tab/>
        <w:t>Infrastrukturn</w:t>
      </w:r>
      <w:r w:rsidR="00315D24">
        <w:rPr>
          <w:lang w:eastAsia="de-DE"/>
        </w:rPr>
        <w:t>u</w:t>
      </w:r>
      <w:r w:rsidRPr="002B271C">
        <w:rPr>
          <w:lang w:eastAsia="de-DE"/>
        </w:rPr>
        <w:t>tzer/in</w:t>
      </w:r>
    </w:p>
    <w:p w14:paraId="4B461851" w14:textId="652414BB" w:rsidR="002B271C" w:rsidRDefault="002B271C" w:rsidP="00477FFB">
      <w:pPr>
        <w:pStyle w:val="KeinLeerraum"/>
        <w:rPr>
          <w:lang w:eastAsia="de-DE"/>
        </w:rPr>
      </w:pPr>
      <w:proofErr w:type="gramStart"/>
      <w:r>
        <w:rPr>
          <w:lang w:eastAsia="de-DE"/>
        </w:rPr>
        <w:t>PIS</w:t>
      </w:r>
      <w:r>
        <w:rPr>
          <w:lang w:eastAsia="de-DE"/>
        </w:rPr>
        <w:tab/>
        <w:t>P</w:t>
      </w:r>
      <w:r w:rsidR="00315D24">
        <w:rPr>
          <w:lang w:eastAsia="de-DE"/>
        </w:rPr>
        <w:t>atienteninformationssystem</w:t>
      </w:r>
      <w:proofErr w:type="gramEnd"/>
    </w:p>
    <w:p w14:paraId="507B0535" w14:textId="7AA753CD" w:rsidR="002C13AB" w:rsidRPr="002B271C" w:rsidRDefault="002C13AB" w:rsidP="00477FFB">
      <w:pPr>
        <w:pStyle w:val="KeinLeerraum"/>
        <w:rPr>
          <w:lang w:eastAsia="de-DE"/>
        </w:rPr>
      </w:pPr>
      <w:r>
        <w:rPr>
          <w:lang w:eastAsia="de-DE"/>
        </w:rPr>
        <w:t>VH</w:t>
      </w:r>
      <w:r>
        <w:rPr>
          <w:lang w:eastAsia="de-DE"/>
        </w:rPr>
        <w:tab/>
        <w:t>VivaHub AG</w:t>
      </w:r>
    </w:p>
    <w:p w14:paraId="6970AE81" w14:textId="5F92C32A" w:rsidR="00437E0F" w:rsidRPr="00E077F6" w:rsidRDefault="00437E0F" w:rsidP="00477FFB">
      <w:pPr>
        <w:pStyle w:val="KeinLeerraum"/>
      </w:pPr>
      <w:r w:rsidRPr="00437E0F">
        <w:rPr>
          <w:lang w:eastAsia="de-DE"/>
        </w:rPr>
        <w:br/>
      </w:r>
      <w:r w:rsidRPr="00437E0F">
        <w:rPr>
          <w:rStyle w:val="berschrift2Zchn"/>
          <w:lang w:eastAsia="de-DE"/>
        </w:rPr>
        <w:t>Geltungsbereich</w:t>
      </w:r>
      <w:r w:rsidRPr="00437E0F">
        <w:rPr>
          <w:lang w:eastAsia="de-DE"/>
        </w:rPr>
        <w:br/>
      </w:r>
      <w:r w:rsidRPr="00E077F6">
        <w:t>Praxisapotheke</w:t>
      </w:r>
    </w:p>
    <w:p w14:paraId="111324A2" w14:textId="77777777" w:rsidR="00E077F6" w:rsidRPr="00437E0F" w:rsidRDefault="00E077F6" w:rsidP="00477FFB">
      <w:pPr>
        <w:pStyle w:val="KeinLeerraum"/>
        <w:rPr>
          <w:lang w:eastAsia="de-DE"/>
        </w:rPr>
      </w:pPr>
    </w:p>
    <w:p w14:paraId="22E38560" w14:textId="6FBE2F1F" w:rsidR="00437E0F" w:rsidRPr="00437E0F" w:rsidRDefault="00437E0F" w:rsidP="00477FFB">
      <w:pPr>
        <w:pStyle w:val="KeinLeerraum"/>
        <w:rPr>
          <w:lang w:eastAsia="de-DE"/>
        </w:rPr>
      </w:pPr>
      <w:r w:rsidRPr="00437E0F">
        <w:rPr>
          <w:rStyle w:val="berschrift2Zchn"/>
          <w:lang w:eastAsia="de-DE"/>
        </w:rPr>
        <w:t>Verantwortlichkeit</w:t>
      </w:r>
      <w:r w:rsidRPr="00437E0F">
        <w:rPr>
          <w:lang w:eastAsia="de-DE"/>
        </w:rPr>
        <w:br/>
        <w:t>Bedarfsabklärung und Definition der Anzahl Packungen:</w:t>
      </w:r>
      <w:r w:rsidR="00E077F6">
        <w:rPr>
          <w:lang w:eastAsia="de-DE"/>
        </w:rPr>
        <w:tab/>
      </w:r>
      <w:r w:rsidRPr="00437E0F">
        <w:rPr>
          <w:lang w:eastAsia="de-DE"/>
        </w:rPr>
        <w:t>Arzt</w:t>
      </w:r>
    </w:p>
    <w:p w14:paraId="0D8066AE" w14:textId="1CE640DC" w:rsidR="00437E0F" w:rsidRPr="00437E0F" w:rsidRDefault="00437E0F" w:rsidP="00477FFB">
      <w:pPr>
        <w:pStyle w:val="KeinLeerraum"/>
        <w:rPr>
          <w:lang w:eastAsia="de-DE"/>
        </w:rPr>
      </w:pPr>
      <w:r w:rsidRPr="00437E0F">
        <w:rPr>
          <w:lang w:eastAsia="de-DE"/>
        </w:rPr>
        <w:t>Bestellung ausführen:</w:t>
      </w:r>
      <w:r w:rsidR="00E077F6">
        <w:rPr>
          <w:lang w:eastAsia="de-DE"/>
        </w:rPr>
        <w:tab/>
      </w:r>
      <w:r w:rsidR="00E077F6">
        <w:rPr>
          <w:lang w:eastAsia="de-DE"/>
        </w:rPr>
        <w:tab/>
      </w:r>
      <w:r w:rsidR="00E077F6">
        <w:rPr>
          <w:lang w:eastAsia="de-DE"/>
        </w:rPr>
        <w:tab/>
      </w:r>
      <w:r w:rsidR="00E077F6">
        <w:rPr>
          <w:lang w:eastAsia="de-DE"/>
        </w:rPr>
        <w:tab/>
      </w:r>
      <w:r w:rsidR="00E077F6">
        <w:rPr>
          <w:lang w:eastAsia="de-DE"/>
        </w:rPr>
        <w:tab/>
      </w:r>
      <w:r w:rsidR="00E077F6">
        <w:rPr>
          <w:lang w:eastAsia="de-DE"/>
        </w:rPr>
        <w:tab/>
      </w:r>
      <w:r w:rsidRPr="00437E0F">
        <w:rPr>
          <w:lang w:eastAsia="de-DE"/>
        </w:rPr>
        <w:t>MPA</w:t>
      </w:r>
    </w:p>
    <w:p w14:paraId="11EFDA89" w14:textId="4852E939" w:rsidR="00437E0F" w:rsidRDefault="00437E0F" w:rsidP="00477FFB">
      <w:pPr>
        <w:pStyle w:val="KeinLeerraum"/>
        <w:rPr>
          <w:lang w:eastAsia="de-DE"/>
        </w:rPr>
      </w:pPr>
      <w:r w:rsidRPr="00437E0F">
        <w:rPr>
          <w:lang w:eastAsia="de-DE"/>
        </w:rPr>
        <w:t>Als Spezialfall muss die Betäubungsmittelbestellung behandelt werden. Diese erfolgt schriftlich mit Unterschrift des zuständigen Arztes gem. Vorschriften.</w:t>
      </w:r>
    </w:p>
    <w:p w14:paraId="12AC9917" w14:textId="77777777" w:rsidR="001744E3" w:rsidRDefault="001744E3" w:rsidP="00E077F6">
      <w:pPr>
        <w:rPr>
          <w:lang w:eastAsia="de-DE"/>
        </w:rPr>
      </w:pPr>
    </w:p>
    <w:p w14:paraId="0489E676" w14:textId="77777777" w:rsidR="00415DAF" w:rsidRDefault="00415DAF" w:rsidP="00477FFB">
      <w:pPr>
        <w:pStyle w:val="KeinLeerraum"/>
      </w:pPr>
      <w:r w:rsidRPr="00591390">
        <w:rPr>
          <w:rStyle w:val="berschrift3Zchn"/>
        </w:rPr>
        <w:t>Allgemeine Bestimmungen</w:t>
      </w:r>
      <w:r>
        <w:br/>
        <w:t>Die Nutzerschaft verpflichtet sich, die folgenden Regelungen einzuhalten. Diese sind Bestandteil des Infrastrukturnutzungsvertrages (INV) und müssen von allen Nutzenden der Infrastruktur beachtet werden. Die Nutzerschaft verfügt über die notwendigen Qualifikationen, Bewilligungen sowie rechtlichen Voraussetzungen eine Privatapotheke zu betreiben.</w:t>
      </w:r>
    </w:p>
    <w:p w14:paraId="2FC60204" w14:textId="77777777" w:rsidR="00591390" w:rsidRDefault="00591390" w:rsidP="00477FFB">
      <w:pPr>
        <w:pStyle w:val="KeinLeerraum"/>
      </w:pPr>
    </w:p>
    <w:p w14:paraId="395AFF67" w14:textId="702ED718" w:rsidR="00415DAF" w:rsidRDefault="00415DAF" w:rsidP="00477FFB">
      <w:pPr>
        <w:pStyle w:val="KeinLeerraum"/>
      </w:pPr>
      <w:r w:rsidRPr="00591390">
        <w:rPr>
          <w:b/>
          <w:bCs/>
        </w:rPr>
        <w:t>Bestellung der Medikamente</w:t>
      </w:r>
      <w:r>
        <w:br/>
        <w:t>Die Nutzerschaft bestellt eigenständig Medikamente bei</w:t>
      </w:r>
      <w:r w:rsidR="00912A51">
        <w:t>m</w:t>
      </w:r>
      <w:r w:rsidR="00DE60A3">
        <w:t xml:space="preserve"> Grossist Spirig HC </w:t>
      </w:r>
      <w:r>
        <w:t>in ihrer Funktion als unabhängiger Mandant. Alternativ kann die Bestellung durch VH im dokumentierten Auftrag der Nutzerschaft erfolgen.</w:t>
      </w:r>
    </w:p>
    <w:p w14:paraId="7304F7A5" w14:textId="77777777" w:rsidR="00415DAF" w:rsidRDefault="00415DAF" w:rsidP="00477FFB">
      <w:pPr>
        <w:pStyle w:val="KeinLeerraum"/>
      </w:pPr>
    </w:p>
    <w:p w14:paraId="502BA613" w14:textId="662EF265" w:rsidR="00415DAF" w:rsidRDefault="00415DAF" w:rsidP="00477FFB">
      <w:pPr>
        <w:pStyle w:val="KeinLeerraum"/>
      </w:pPr>
      <w:r w:rsidRPr="00591390">
        <w:rPr>
          <w:b/>
          <w:bCs/>
        </w:rPr>
        <w:t>Lieferschein und Abwicklung</w:t>
      </w:r>
      <w:r>
        <w:br/>
      </w:r>
      <w:r w:rsidRPr="00591390">
        <w:t>Die Bestellung wird im Namen der Nutzerschaft verschickt, und der Lieferschein wird auf die Nutzerschaft ausgestellt.</w:t>
      </w:r>
    </w:p>
    <w:p w14:paraId="44F5B627" w14:textId="77777777" w:rsidR="00591390" w:rsidRDefault="00591390" w:rsidP="00477FFB">
      <w:pPr>
        <w:pStyle w:val="KeinLeerraum"/>
      </w:pPr>
    </w:p>
    <w:p w14:paraId="4D475432" w14:textId="0E4D88C2" w:rsidR="00591390" w:rsidRDefault="00415DAF" w:rsidP="00477FFB">
      <w:pPr>
        <w:pStyle w:val="KeinLeerraum"/>
      </w:pPr>
      <w:r w:rsidRPr="00591390">
        <w:rPr>
          <w:b/>
          <w:bCs/>
        </w:rPr>
        <w:t>Lagerung der Medikamente</w:t>
      </w:r>
      <w:r>
        <w:br/>
        <w:t>Die gelieferten Medikamente werden im Namen der Nutzerschaft in der Infrastruktur</w:t>
      </w:r>
      <w:r w:rsidR="00F424FF">
        <w:t xml:space="preserve"> (im </w:t>
      </w:r>
      <w:proofErr w:type="gramStart"/>
      <w:r w:rsidR="00F424FF">
        <w:lastRenderedPageBreak/>
        <w:t>AMI Automaten</w:t>
      </w:r>
      <w:proofErr w:type="gramEnd"/>
      <w:r w:rsidR="00F424FF">
        <w:t>)</w:t>
      </w:r>
      <w:r>
        <w:t xml:space="preserve"> von VH eingelagert. VH gewährleistet eine sichere und ordnungsgemässe Lagerung gemäss den gesetzlichen Vorgaben.</w:t>
      </w:r>
    </w:p>
    <w:p w14:paraId="102E5024" w14:textId="77777777" w:rsidR="00591390" w:rsidRDefault="00591390" w:rsidP="00477FFB">
      <w:pPr>
        <w:pStyle w:val="KeinLeerraum"/>
      </w:pPr>
    </w:p>
    <w:p w14:paraId="49FEDFE3" w14:textId="77777777" w:rsidR="00415DAF" w:rsidRDefault="00415DAF" w:rsidP="00477FFB">
      <w:pPr>
        <w:pStyle w:val="KeinLeerraum"/>
      </w:pPr>
      <w:r w:rsidRPr="00591390">
        <w:rPr>
          <w:b/>
          <w:bCs/>
        </w:rPr>
        <w:t>Abgabe der Medikamente</w:t>
      </w:r>
      <w:r>
        <w:br/>
        <w:t>Die Abgabe der Medikamente erfolgt direkt durch die Nutzerschaft an die Patienten. Es liegt in der Verantwortung der Nutzerschaft, dass die Abgabe den gesetzlichen Anforderungen entspricht und die Patienten korrekt informiert werden.</w:t>
      </w:r>
    </w:p>
    <w:p w14:paraId="51DFD22B" w14:textId="77777777" w:rsidR="00415DAF" w:rsidRDefault="00415DAF" w:rsidP="00477FFB">
      <w:pPr>
        <w:pStyle w:val="KeinLeerraum"/>
      </w:pPr>
    </w:p>
    <w:p w14:paraId="128E9922" w14:textId="77777777" w:rsidR="00415DAF" w:rsidRDefault="00415DAF" w:rsidP="00477FFB">
      <w:pPr>
        <w:pStyle w:val="KeinLeerraum"/>
      </w:pPr>
      <w:r w:rsidRPr="00591390">
        <w:rPr>
          <w:b/>
          <w:bCs/>
        </w:rPr>
        <w:t>Rechnung des Grosshändlers</w:t>
      </w:r>
      <w:r>
        <w:br/>
        <w:t>Die Rechnung des Grosshändlers lautet auf die Nutzerschaft. VH übernimmt keine Haftung für Bestellungen, die im Namen der Nutzerschaft getätigt werden.</w:t>
      </w:r>
    </w:p>
    <w:p w14:paraId="03957B35" w14:textId="77777777" w:rsidR="00415DAF" w:rsidRDefault="00415DAF" w:rsidP="00477FFB">
      <w:pPr>
        <w:pStyle w:val="KeinLeerraum"/>
      </w:pPr>
    </w:p>
    <w:p w14:paraId="145FFF47" w14:textId="24CCFAA2" w:rsidR="001744E3" w:rsidRDefault="00415DAF" w:rsidP="00477FFB">
      <w:pPr>
        <w:pStyle w:val="KeinLeerraum"/>
      </w:pPr>
      <w:r w:rsidRPr="00591390">
        <w:rPr>
          <w:b/>
          <w:bCs/>
        </w:rPr>
        <w:t>Schlussbestimmungen</w:t>
      </w:r>
      <w:r>
        <w:br/>
        <w:t>Diese SOP tritt mit sofortiger Wirkung in Kraft und ist für alle Nutzenden der Infrastruktur verbindlich. Zuwiderhandlungen können zu Sanktionen bis hin zur Kündigung des INV führen.</w:t>
      </w:r>
    </w:p>
    <w:p w14:paraId="77D9AF21" w14:textId="77777777" w:rsidR="00E077F6" w:rsidRPr="00437E0F" w:rsidRDefault="00E077F6" w:rsidP="00591390">
      <w:pPr>
        <w:rPr>
          <w:lang w:eastAsia="de-DE"/>
        </w:rPr>
      </w:pPr>
    </w:p>
    <w:p w14:paraId="6D63FF74" w14:textId="77777777" w:rsidR="00802ABF" w:rsidRDefault="00437E0F" w:rsidP="00816B49">
      <w:pPr>
        <w:rPr>
          <w:rStyle w:val="berschrift2Zchn"/>
          <w:lang w:eastAsia="de-DE"/>
        </w:rPr>
      </w:pPr>
      <w:r w:rsidRPr="00437E0F">
        <w:rPr>
          <w:rStyle w:val="berschrift2Zchn"/>
          <w:lang w:eastAsia="de-DE"/>
        </w:rPr>
        <w:t>Durchführung</w:t>
      </w:r>
    </w:p>
    <w:p w14:paraId="399F6B86" w14:textId="13FCC7B9" w:rsidR="00437E0F" w:rsidRPr="00437E0F" w:rsidRDefault="00802ABF" w:rsidP="00477FFB">
      <w:pPr>
        <w:pStyle w:val="KeinLeerraum"/>
        <w:rPr>
          <w:lang w:eastAsia="de-DE"/>
        </w:rPr>
      </w:pPr>
      <w:r w:rsidRPr="00437E0F">
        <w:rPr>
          <w:lang w:eastAsia="de-DE"/>
        </w:rPr>
        <w:t>Die Bestellungen erfolgen über den Grossisten Spirig HealthCare AG</w:t>
      </w:r>
      <w:r>
        <w:rPr>
          <w:lang w:eastAsia="de-DE"/>
        </w:rPr>
        <w:t>.</w:t>
      </w:r>
      <w:r w:rsidR="00437E0F" w:rsidRPr="00437E0F">
        <w:rPr>
          <w:rFonts w:ascii="Roboto" w:eastAsia="Times New Roman" w:hAnsi="Roboto" w:cs="Times New Roman"/>
          <w:color w:val="464646"/>
          <w:kern w:val="0"/>
          <w:sz w:val="21"/>
          <w:szCs w:val="21"/>
          <w:lang w:eastAsia="de-DE"/>
          <w14:ligatures w14:val="none"/>
        </w:rPr>
        <w:br/>
      </w:r>
      <w:r w:rsidR="00437E0F" w:rsidRPr="00437E0F">
        <w:rPr>
          <w:b/>
          <w:bCs/>
          <w:lang w:eastAsia="de-DE"/>
        </w:rPr>
        <w:t>Häufigkeit</w:t>
      </w:r>
      <w:r w:rsidR="00437E0F" w:rsidRPr="00437E0F">
        <w:rPr>
          <w:lang w:eastAsia="de-DE"/>
        </w:rPr>
        <w:br/>
        <w:t xml:space="preserve">Die Häufigkeit der Bestellungen ist </w:t>
      </w:r>
      <w:r w:rsidR="00AF5762">
        <w:rPr>
          <w:lang w:eastAsia="de-DE"/>
        </w:rPr>
        <w:t>bedarfsabhängig, wird jedoch jeden Abend</w:t>
      </w:r>
      <w:r w:rsidR="00816B49">
        <w:rPr>
          <w:lang w:eastAsia="de-DE"/>
        </w:rPr>
        <w:t xml:space="preserve"> von der zuständigen MPA evaluiert. Bestellungen sind bis </w:t>
      </w:r>
      <w:r w:rsidR="00437E0F" w:rsidRPr="00437E0F">
        <w:rPr>
          <w:lang w:eastAsia="de-DE"/>
        </w:rPr>
        <w:t>17.30 Uhr</w:t>
      </w:r>
      <w:r w:rsidR="00816B49">
        <w:rPr>
          <w:lang w:eastAsia="de-DE"/>
        </w:rPr>
        <w:t xml:space="preserve"> möglich.</w:t>
      </w:r>
    </w:p>
    <w:p w14:paraId="57DED4CC" w14:textId="706B9506" w:rsidR="00CA4F0B" w:rsidRPr="00437E0F" w:rsidRDefault="00437E0F" w:rsidP="00477FFB">
      <w:pPr>
        <w:pStyle w:val="KeinLeerraum"/>
        <w:rPr>
          <w:lang w:eastAsia="de-DE"/>
        </w:rPr>
      </w:pPr>
      <w:r w:rsidRPr="00437E0F">
        <w:rPr>
          <w:b/>
          <w:bCs/>
          <w:lang w:eastAsia="de-DE"/>
        </w:rPr>
        <w:t>Bestellart</w:t>
      </w:r>
      <w:r w:rsidRPr="00437E0F">
        <w:rPr>
          <w:lang w:eastAsia="de-DE"/>
        </w:rPr>
        <w:br/>
      </w:r>
      <w:r w:rsidR="0031237A">
        <w:rPr>
          <w:lang w:eastAsia="de-DE"/>
        </w:rPr>
        <w:t>Das System ist mit dem PIS (</w:t>
      </w:r>
      <w:proofErr w:type="spellStart"/>
      <w:r w:rsidR="0031237A">
        <w:rPr>
          <w:lang w:eastAsia="de-DE"/>
        </w:rPr>
        <w:t>Tomedo</w:t>
      </w:r>
      <w:proofErr w:type="spellEnd"/>
      <w:r w:rsidR="0031237A">
        <w:rPr>
          <w:lang w:eastAsia="de-DE"/>
        </w:rPr>
        <w:t xml:space="preserve">) gekoppelt und wird demnach automatisch </w:t>
      </w:r>
      <w:r w:rsidR="002C3AC8">
        <w:rPr>
          <w:lang w:eastAsia="de-DE"/>
        </w:rPr>
        <w:t>bereitgestellt.</w:t>
      </w:r>
    </w:p>
    <w:p w14:paraId="1C5652DB" w14:textId="51B7A254" w:rsidR="00437E0F" w:rsidRPr="00437E0F" w:rsidRDefault="00437E0F" w:rsidP="00477FFB">
      <w:pPr>
        <w:pStyle w:val="KeinLeerraum"/>
        <w:rPr>
          <w:lang w:eastAsia="de-DE"/>
        </w:rPr>
      </w:pPr>
      <w:r w:rsidRPr="00CA4F0B">
        <w:rPr>
          <w:b/>
          <w:bCs/>
          <w:color w:val="000000" w:themeColor="text1"/>
          <w:lang w:eastAsia="de-DE"/>
        </w:rPr>
        <w:t>Einzelbestellungen</w:t>
      </w:r>
      <w:r w:rsidRPr="00437E0F">
        <w:rPr>
          <w:lang w:eastAsia="de-DE"/>
        </w:rPr>
        <w:br/>
        <w:t xml:space="preserve">Einzelbestellungen erfolgen </w:t>
      </w:r>
      <w:r w:rsidR="0005182D">
        <w:rPr>
          <w:lang w:eastAsia="de-DE"/>
        </w:rPr>
        <w:t xml:space="preserve">elektronisch, </w:t>
      </w:r>
      <w:r w:rsidRPr="00437E0F">
        <w:rPr>
          <w:lang w:eastAsia="de-DE"/>
        </w:rPr>
        <w:t>telefonisch</w:t>
      </w:r>
      <w:r w:rsidR="0005182D">
        <w:rPr>
          <w:lang w:eastAsia="de-DE"/>
        </w:rPr>
        <w:t xml:space="preserve"> </w:t>
      </w:r>
      <w:proofErr w:type="spellStart"/>
      <w:r w:rsidR="0005182D">
        <w:rPr>
          <w:lang w:eastAsia="de-DE"/>
        </w:rPr>
        <w:t>oder</w:t>
      </w:r>
      <w:proofErr w:type="spellEnd"/>
      <w:r w:rsidR="0005182D">
        <w:rPr>
          <w:lang w:eastAsia="de-DE"/>
        </w:rPr>
        <w:t xml:space="preserve"> </w:t>
      </w:r>
      <w:r w:rsidRPr="00437E0F">
        <w:rPr>
          <w:lang w:eastAsia="de-DE"/>
        </w:rPr>
        <w:t>per Mail mit dem Bestellblock.</w:t>
      </w:r>
    </w:p>
    <w:p w14:paraId="65DD5BF4" w14:textId="7250EA81" w:rsidR="00125832" w:rsidRPr="00437E0F" w:rsidRDefault="00437E0F" w:rsidP="00477FFB">
      <w:pPr>
        <w:pStyle w:val="KeinLeerraum"/>
        <w:rPr>
          <w:lang w:eastAsia="de-DE"/>
        </w:rPr>
      </w:pPr>
      <w:r w:rsidRPr="00CA4F0B">
        <w:rPr>
          <w:b/>
          <w:bCs/>
          <w:color w:val="000000" w:themeColor="text1"/>
          <w:lang w:eastAsia="de-DE"/>
        </w:rPr>
        <w:t>Expressbestellungen</w:t>
      </w:r>
      <w:r w:rsidRPr="00437E0F">
        <w:rPr>
          <w:lang w:eastAsia="de-DE"/>
        </w:rPr>
        <w:br/>
        <w:t xml:space="preserve">Expressbestellungen erfolgen nur im Ausnahmefall und nach Rücksprache mit dem </w:t>
      </w:r>
      <w:r w:rsidR="007F4577">
        <w:rPr>
          <w:lang w:eastAsia="de-DE"/>
        </w:rPr>
        <w:t>auftraggebe</w:t>
      </w:r>
      <w:r w:rsidR="002B271C">
        <w:rPr>
          <w:lang w:eastAsia="de-DE"/>
        </w:rPr>
        <w:t>nden</w:t>
      </w:r>
      <w:r w:rsidR="007F4577">
        <w:rPr>
          <w:lang w:eastAsia="de-DE"/>
        </w:rPr>
        <w:t xml:space="preserve"> IN</w:t>
      </w:r>
      <w:r w:rsidRPr="00437E0F">
        <w:rPr>
          <w:lang w:eastAsia="de-DE"/>
        </w:rPr>
        <w:t>.</w:t>
      </w:r>
    </w:p>
    <w:p w14:paraId="08D0597C" w14:textId="6C827C34" w:rsidR="00437E0F" w:rsidRDefault="00437E0F" w:rsidP="00477FFB">
      <w:pPr>
        <w:pStyle w:val="KeinLeerraum"/>
        <w:rPr>
          <w:lang w:eastAsia="de-DE"/>
        </w:rPr>
      </w:pPr>
      <w:r w:rsidRPr="00437E0F">
        <w:rPr>
          <w:lang w:eastAsia="de-DE"/>
        </w:rPr>
        <w:t xml:space="preserve">Die bestellende Person visiert sämtliche Dokumente der Bestellung (z.B. persönliche Liste mit den bestellten Produkten, Bestellbestätigung des </w:t>
      </w:r>
      <w:proofErr w:type="gramStart"/>
      <w:r w:rsidRPr="00437E0F">
        <w:rPr>
          <w:lang w:eastAsia="de-DE"/>
        </w:rPr>
        <w:t>Lieferanten )</w:t>
      </w:r>
      <w:proofErr w:type="gramEnd"/>
      <w:r w:rsidRPr="00437E0F">
        <w:rPr>
          <w:lang w:eastAsia="de-DE"/>
        </w:rPr>
        <w:t xml:space="preserve"> falls diese nicht über die SHC-Bestellplattform bestellt werden und legt diese im Ordner Bestellungen ab. </w:t>
      </w:r>
      <w:proofErr w:type="gramStart"/>
      <w:r w:rsidRPr="00437E0F">
        <w:rPr>
          <w:lang w:eastAsia="de-DE"/>
        </w:rPr>
        <w:t>Bestellungen</w:t>
      </w:r>
      <w:proofErr w:type="gramEnd"/>
      <w:r w:rsidRPr="00437E0F">
        <w:rPr>
          <w:lang w:eastAsia="de-DE"/>
        </w:rPr>
        <w:t xml:space="preserve"> welche über die SHC-Bestellplattform bestellt werden, werden automatisch in der Bestellplattform unter Bestellungen abgelegt und können jederzeit abgerufen werden.</w:t>
      </w:r>
    </w:p>
    <w:p w14:paraId="064B049A" w14:textId="77777777" w:rsidR="007D7F18" w:rsidRPr="00437E0F" w:rsidRDefault="007D7F18" w:rsidP="00CA4F0B">
      <w:pPr>
        <w:rPr>
          <w:lang w:eastAsia="de-DE"/>
        </w:rPr>
      </w:pPr>
    </w:p>
    <w:p w14:paraId="3C059FD9" w14:textId="6C763882" w:rsidR="00437E0F" w:rsidRDefault="00437E0F" w:rsidP="00477FFB">
      <w:pPr>
        <w:pStyle w:val="KeinLeerraum"/>
        <w:rPr>
          <w:lang w:eastAsia="de-DE"/>
        </w:rPr>
      </w:pPr>
      <w:r w:rsidRPr="00006430">
        <w:rPr>
          <w:rStyle w:val="berschrift3Zchn"/>
        </w:rPr>
        <w:t>Bestellung ausländischer Arzneimittel</w:t>
      </w:r>
      <w:r w:rsidRPr="00437E0F">
        <w:rPr>
          <w:lang w:eastAsia="de-DE"/>
        </w:rPr>
        <w:br/>
        <w:t>Ausländische Arzneimittel dürfen nur unter gewissen Bedingungen importiert werden.</w:t>
      </w:r>
      <w:r w:rsidRPr="00437E0F">
        <w:rPr>
          <w:lang w:eastAsia="de-DE"/>
        </w:rPr>
        <w:br/>
        <w:t>Es gilt </w:t>
      </w:r>
      <w:hyperlink r:id="rId10" w:anchor="a49" w:tgtFrame="_blank" w:history="1">
        <w:r w:rsidRPr="00437E0F">
          <w:rPr>
            <w:color w:val="0069A2"/>
            <w:u w:val="single"/>
            <w:lang w:eastAsia="de-DE"/>
          </w:rPr>
          <w:t>Art. 49 der AMBV</w:t>
        </w:r>
      </w:hyperlink>
      <w:r w:rsidRPr="00437E0F">
        <w:rPr>
          <w:lang w:eastAsia="de-DE"/>
        </w:rPr>
        <w:t>. Diese Bestellungen werden separat dokumentiert (Siehe Dokument)</w:t>
      </w:r>
      <w:r w:rsidR="00F94712">
        <w:rPr>
          <w:lang w:eastAsia="de-DE"/>
        </w:rPr>
        <w:t xml:space="preserve"> und über den Grossisten Spirig SHC bestellt.</w:t>
      </w:r>
    </w:p>
    <w:p w14:paraId="3EB8671B" w14:textId="77777777" w:rsidR="0031237A" w:rsidRPr="00437E0F" w:rsidRDefault="0031237A" w:rsidP="00802ABF">
      <w:pPr>
        <w:rPr>
          <w:lang w:eastAsia="de-DE"/>
        </w:rPr>
      </w:pPr>
    </w:p>
    <w:p w14:paraId="3ED20B58" w14:textId="73DBA584" w:rsidR="00437E0F" w:rsidRDefault="00437E0F" w:rsidP="00477FFB">
      <w:pPr>
        <w:pStyle w:val="KeinLeerraum"/>
        <w:rPr>
          <w:lang w:eastAsia="de-DE"/>
        </w:rPr>
      </w:pPr>
      <w:r w:rsidRPr="00006430">
        <w:rPr>
          <w:rStyle w:val="berschrift3Zchn"/>
        </w:rPr>
        <w:t>Eingangskontrolle</w:t>
      </w:r>
      <w:r w:rsidRPr="00437E0F">
        <w:rPr>
          <w:lang w:eastAsia="de-DE"/>
        </w:rPr>
        <w:br/>
      </w:r>
      <w:r w:rsidRPr="00F877DB">
        <w:rPr>
          <w:b/>
          <w:bCs/>
          <w:lang w:eastAsia="de-DE"/>
        </w:rPr>
        <w:t>1</w:t>
      </w:r>
      <w:r w:rsidRPr="00437E0F">
        <w:rPr>
          <w:lang w:eastAsia="de-DE"/>
        </w:rPr>
        <w:t>. Prüfen, ob für die Lieferung ein Lieferschein oder eine Rechnung vorliegt.</w:t>
      </w:r>
      <w:r w:rsidRPr="00437E0F">
        <w:rPr>
          <w:lang w:eastAsia="de-DE"/>
        </w:rPr>
        <w:br/>
      </w:r>
      <w:r w:rsidRPr="00F877DB">
        <w:rPr>
          <w:b/>
          <w:bCs/>
          <w:lang w:eastAsia="de-DE"/>
        </w:rPr>
        <w:t>2</w:t>
      </w:r>
      <w:r w:rsidRPr="00437E0F">
        <w:rPr>
          <w:lang w:eastAsia="de-DE"/>
        </w:rPr>
        <w:t>. Prüfen, ob die Verpackung der Ware unversehrt ist.</w:t>
      </w:r>
      <w:r w:rsidRPr="00437E0F">
        <w:rPr>
          <w:lang w:eastAsia="de-DE"/>
        </w:rPr>
        <w:br/>
      </w:r>
      <w:r w:rsidRPr="00F877DB">
        <w:rPr>
          <w:b/>
          <w:bCs/>
          <w:lang w:eastAsia="de-DE"/>
        </w:rPr>
        <w:lastRenderedPageBreak/>
        <w:t>3</w:t>
      </w:r>
      <w:r w:rsidRPr="00437E0F">
        <w:rPr>
          <w:lang w:eastAsia="de-DE"/>
        </w:rPr>
        <w:t>. Prüfen, ob die Lieferung vollständig ist und der Bestellung entspricht.</w:t>
      </w:r>
      <w:r w:rsidRPr="00437E0F">
        <w:rPr>
          <w:lang w:eastAsia="de-DE"/>
        </w:rPr>
        <w:br/>
        <w:t>      - Mit Lieferschein oder Packschein vergleichen</w:t>
      </w:r>
      <w:r w:rsidRPr="00437E0F">
        <w:rPr>
          <w:lang w:eastAsia="de-DE"/>
        </w:rPr>
        <w:br/>
      </w:r>
      <w:r w:rsidRPr="00F877DB">
        <w:rPr>
          <w:b/>
          <w:bCs/>
          <w:lang w:eastAsia="de-DE"/>
        </w:rPr>
        <w:t>4</w:t>
      </w:r>
      <w:r w:rsidRPr="00437E0F">
        <w:rPr>
          <w:lang w:eastAsia="de-DE"/>
        </w:rPr>
        <w:t>. Prüfen, ob die Angaben auf der Ware mit dem Lieferschein übereinstimmen.</w:t>
      </w:r>
      <w:r w:rsidRPr="00437E0F">
        <w:rPr>
          <w:lang w:eastAsia="de-DE"/>
        </w:rPr>
        <w:br/>
        <w:t xml:space="preserve">      - Jede Position auf dem Lieferschein </w:t>
      </w:r>
      <w:r w:rsidR="006967E2">
        <w:rPr>
          <w:lang w:eastAsia="de-DE"/>
        </w:rPr>
        <w:t xml:space="preserve">elektronisch </w:t>
      </w:r>
      <w:r w:rsidRPr="00437E0F">
        <w:rPr>
          <w:lang w:eastAsia="de-DE"/>
        </w:rPr>
        <w:t xml:space="preserve">abhaken. </w:t>
      </w:r>
      <w:r w:rsidR="00AD416C">
        <w:rPr>
          <w:lang w:eastAsia="de-DE"/>
        </w:rPr>
        <w:t>Am Ende freigeben, damit das System diesen ablegen kann.</w:t>
      </w:r>
      <w:r w:rsidRPr="00437E0F">
        <w:rPr>
          <w:lang w:eastAsia="de-DE"/>
        </w:rPr>
        <w:br/>
        <w:t xml:space="preserve">      - Lieferscheine </w:t>
      </w:r>
      <w:r w:rsidR="00F94712">
        <w:rPr>
          <w:lang w:eastAsia="de-DE"/>
        </w:rPr>
        <w:t>werden</w:t>
      </w:r>
      <w:r w:rsidRPr="00437E0F">
        <w:rPr>
          <w:lang w:eastAsia="de-DE"/>
        </w:rPr>
        <w:t xml:space="preserve"> 5 Jahre aufbewahrt.</w:t>
      </w:r>
      <w:r w:rsidRPr="00437E0F">
        <w:rPr>
          <w:lang w:eastAsia="de-DE"/>
        </w:rPr>
        <w:br/>
        <w:t xml:space="preserve">      - Lieferscheine für Betäubungsmittel </w:t>
      </w:r>
      <w:r w:rsidR="00F94712">
        <w:rPr>
          <w:lang w:eastAsia="de-DE"/>
        </w:rPr>
        <w:t>werden</w:t>
      </w:r>
      <w:r w:rsidRPr="00437E0F">
        <w:rPr>
          <w:lang w:eastAsia="de-DE"/>
        </w:rPr>
        <w:t xml:space="preserve"> 10 Jahre aufbewahrt. Dies gilt auch für </w:t>
      </w:r>
      <w:r w:rsidRPr="00F877DB">
        <w:rPr>
          <w:lang w:eastAsia="de-DE"/>
        </w:rPr>
        <w:t xml:space="preserve">psychotrope Stoffe bzw. für die Liste </w:t>
      </w:r>
      <w:r w:rsidR="00440934" w:rsidRPr="00F877DB">
        <w:rPr>
          <w:lang w:eastAsia="de-DE"/>
        </w:rPr>
        <w:t>B</w:t>
      </w:r>
      <w:r w:rsidRPr="00437E0F">
        <w:rPr>
          <w:lang w:eastAsia="de-DE"/>
        </w:rPr>
        <w:t>.</w:t>
      </w:r>
      <w:r w:rsidRPr="00437E0F">
        <w:rPr>
          <w:lang w:eastAsia="de-DE"/>
        </w:rPr>
        <w:br/>
      </w:r>
      <w:r w:rsidRPr="00F877DB">
        <w:rPr>
          <w:b/>
          <w:bCs/>
          <w:lang w:eastAsia="de-DE"/>
        </w:rPr>
        <w:t>5</w:t>
      </w:r>
      <w:r w:rsidRPr="00437E0F">
        <w:rPr>
          <w:lang w:eastAsia="de-DE"/>
        </w:rPr>
        <w:t xml:space="preserve">. Kontrolle der Verkehrsfähigkeit: Verkehrsfähige, pharmazeutische Spezialitäten sind mit der Swissmedic-Vignette A bis E gekennzeichnet. Als nicht verkehrsfähig gelten nicht mit einer Swissmedic-Vignette gekennzeichnete Produkte, Produkte mit AR-Kennzeichnung (Appenzell Ausserrhoder Registrierung). Medizinprodukte müssen das CE-Konformitätszeichen oder MD-Zeichen aufweisen. Begründete Einfuhren nicht zugelassener Arzneimittel (Kleinmengen) werden in die Buchführung über die ausländischen Heilmittel eingetragen. Nicht konforme Heilmittel werden der Vertriebsfirma retourniert und in die </w:t>
      </w:r>
      <w:proofErr w:type="spellStart"/>
      <w:r w:rsidRPr="00437E0F">
        <w:rPr>
          <w:lang w:eastAsia="de-DE"/>
        </w:rPr>
        <w:t>Retourenliste</w:t>
      </w:r>
      <w:proofErr w:type="spellEnd"/>
      <w:r w:rsidRPr="00437E0F">
        <w:rPr>
          <w:lang w:eastAsia="de-DE"/>
        </w:rPr>
        <w:t xml:space="preserve"> eingetragen.</w:t>
      </w:r>
    </w:p>
    <w:p w14:paraId="3A86F70D" w14:textId="77777777" w:rsidR="00F877DB" w:rsidRPr="00437E0F" w:rsidRDefault="00F877DB" w:rsidP="00477FFB">
      <w:pPr>
        <w:pStyle w:val="KeinLeerraum"/>
        <w:rPr>
          <w:lang w:eastAsia="de-DE"/>
        </w:rPr>
      </w:pPr>
    </w:p>
    <w:p w14:paraId="1B09FBB3" w14:textId="77777777" w:rsidR="00437E0F" w:rsidRPr="00437E0F" w:rsidRDefault="00437E0F" w:rsidP="00477FFB">
      <w:pPr>
        <w:pStyle w:val="KeinLeerraum"/>
        <w:rPr>
          <w:lang w:eastAsia="de-DE"/>
        </w:rPr>
      </w:pPr>
      <w:r w:rsidRPr="00437E0F">
        <w:rPr>
          <w:lang w:eastAsia="de-DE"/>
        </w:rPr>
        <w:t>Beispiel für Abgabevignette Kategorie B:</w:t>
      </w:r>
    </w:p>
    <w:p w14:paraId="6909B580" w14:textId="49161D96" w:rsidR="00437E0F" w:rsidRPr="00437E0F" w:rsidRDefault="00437E0F" w:rsidP="00437E0F">
      <w:pPr>
        <w:spacing w:line="240" w:lineRule="auto"/>
        <w:textAlignment w:val="top"/>
        <w:rPr>
          <w:rFonts w:ascii="Roboto" w:eastAsia="Times New Roman" w:hAnsi="Roboto" w:cs="Times New Roman"/>
          <w:color w:val="464646"/>
          <w:kern w:val="0"/>
          <w:sz w:val="21"/>
          <w:szCs w:val="21"/>
          <w:lang w:eastAsia="de-DE"/>
          <w14:ligatures w14:val="none"/>
        </w:rPr>
      </w:pPr>
      <w:r w:rsidRPr="00437E0F">
        <w:rPr>
          <w:rFonts w:ascii="Roboto" w:eastAsia="Times New Roman" w:hAnsi="Roboto" w:cs="Times New Roman"/>
          <w:color w:val="464646"/>
          <w:kern w:val="0"/>
          <w:sz w:val="21"/>
          <w:szCs w:val="21"/>
          <w:lang w:eastAsia="de-DE"/>
          <w14:ligatures w14:val="none"/>
        </w:rPr>
        <w:fldChar w:fldCharType="begin"/>
      </w:r>
      <w:r w:rsidRPr="00437E0F">
        <w:rPr>
          <w:rFonts w:ascii="Roboto" w:eastAsia="Times New Roman" w:hAnsi="Roboto" w:cs="Times New Roman"/>
          <w:color w:val="464646"/>
          <w:kern w:val="0"/>
          <w:sz w:val="21"/>
          <w:szCs w:val="21"/>
          <w:lang w:eastAsia="de-DE"/>
          <w14:ligatures w14:val="none"/>
        </w:rPr>
        <w:instrText xml:space="preserve"> INCLUDEPICTURE "/Users/kimbalmer/Library/Group Containers/UBF8T346G9.ms/WebArchiveCopyPasteTempFiles/com.microsoft.Word/Abgabekategorie_B.png" \* MERGEFORMATINET </w:instrText>
      </w:r>
      <w:r w:rsidRPr="00437E0F">
        <w:rPr>
          <w:rFonts w:ascii="Roboto" w:eastAsia="Times New Roman" w:hAnsi="Roboto" w:cs="Times New Roman"/>
          <w:color w:val="464646"/>
          <w:kern w:val="0"/>
          <w:sz w:val="21"/>
          <w:szCs w:val="21"/>
          <w:lang w:eastAsia="de-DE"/>
          <w14:ligatures w14:val="none"/>
        </w:rPr>
        <w:fldChar w:fldCharType="separate"/>
      </w:r>
      <w:r w:rsidRPr="00437E0F">
        <w:rPr>
          <w:rFonts w:ascii="Roboto" w:eastAsia="Times New Roman" w:hAnsi="Roboto" w:cs="Times New Roman"/>
          <w:noProof/>
          <w:color w:val="464646"/>
          <w:kern w:val="0"/>
          <w:sz w:val="21"/>
          <w:szCs w:val="21"/>
          <w:lang w:eastAsia="de-DE"/>
          <w14:ligatures w14:val="none"/>
        </w:rPr>
        <w:drawing>
          <wp:inline distT="0" distB="0" distL="0" distR="0" wp14:anchorId="19E30A68" wp14:editId="004FA799">
            <wp:extent cx="5760720" cy="2366645"/>
            <wp:effectExtent l="0" t="0" r="5080" b="0"/>
            <wp:docPr id="1022812162" name="Grafik 2" descr="Ein Bild, das Text, Schrift, Screensho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12162" name="Grafik 2" descr="Ein Bild, das Text, Schrift, Screenshot, Logo enthält.&#10;&#10;KI-generierte Inhalte können fehlerhaft s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366645"/>
                    </a:xfrm>
                    <a:prstGeom prst="rect">
                      <a:avLst/>
                    </a:prstGeom>
                    <a:noFill/>
                    <a:ln>
                      <a:noFill/>
                    </a:ln>
                  </pic:spPr>
                </pic:pic>
              </a:graphicData>
            </a:graphic>
          </wp:inline>
        </w:drawing>
      </w:r>
      <w:r w:rsidRPr="00437E0F">
        <w:rPr>
          <w:rFonts w:ascii="Roboto" w:eastAsia="Times New Roman" w:hAnsi="Roboto" w:cs="Times New Roman"/>
          <w:color w:val="464646"/>
          <w:kern w:val="0"/>
          <w:sz w:val="21"/>
          <w:szCs w:val="21"/>
          <w:lang w:eastAsia="de-DE"/>
          <w14:ligatures w14:val="none"/>
        </w:rPr>
        <w:fldChar w:fldCharType="end"/>
      </w:r>
    </w:p>
    <w:p w14:paraId="64442017" w14:textId="4FCD99C8" w:rsidR="00F877DB" w:rsidRDefault="00477FFB" w:rsidP="00477FFB">
      <w:pPr>
        <w:spacing w:after="160"/>
        <w:rPr>
          <w:rFonts w:ascii="Roboto" w:eastAsia="Times New Roman" w:hAnsi="Roboto" w:cs="Times New Roman"/>
          <w:b/>
          <w:bCs/>
          <w:color w:val="464646"/>
          <w:kern w:val="0"/>
          <w:sz w:val="21"/>
          <w:szCs w:val="21"/>
          <w:lang w:eastAsia="de-DE"/>
          <w14:ligatures w14:val="none"/>
        </w:rPr>
      </w:pPr>
      <w:r>
        <w:rPr>
          <w:rFonts w:ascii="Roboto" w:eastAsia="Times New Roman" w:hAnsi="Roboto" w:cs="Times New Roman"/>
          <w:b/>
          <w:bCs/>
          <w:color w:val="464646"/>
          <w:kern w:val="0"/>
          <w:sz w:val="21"/>
          <w:szCs w:val="21"/>
          <w:lang w:eastAsia="de-DE"/>
          <w14:ligatures w14:val="none"/>
        </w:rPr>
        <w:br w:type="page"/>
      </w:r>
    </w:p>
    <w:p w14:paraId="3484E789" w14:textId="72E17EF4" w:rsidR="00437E0F" w:rsidRPr="00F877DB" w:rsidRDefault="00437E0F" w:rsidP="00F877DB">
      <w:pPr>
        <w:rPr>
          <w:rFonts w:ascii="Roboto" w:eastAsia="Times New Roman" w:hAnsi="Roboto" w:cs="Times New Roman"/>
          <w:b/>
          <w:bCs/>
          <w:color w:val="464646"/>
          <w:kern w:val="0"/>
          <w:sz w:val="21"/>
          <w:szCs w:val="21"/>
          <w:lang w:eastAsia="de-DE"/>
          <w14:ligatures w14:val="none"/>
        </w:rPr>
      </w:pPr>
      <w:r w:rsidRPr="00F877DB">
        <w:rPr>
          <w:rStyle w:val="berschrift2Zchn"/>
          <w:rFonts w:asciiTheme="minorHAnsi" w:eastAsiaTheme="minorHAnsi" w:hAnsiTheme="minorHAnsi" w:cstheme="minorBidi"/>
          <w:b/>
          <w:bCs/>
          <w:color w:val="auto"/>
          <w:sz w:val="24"/>
          <w:szCs w:val="24"/>
        </w:rPr>
        <w:lastRenderedPageBreak/>
        <w:t>Abgabekategorien</w:t>
      </w:r>
    </w:p>
    <w:tbl>
      <w:tblPr>
        <w:tblW w:w="6355" w:type="pct"/>
        <w:jc w:val="center"/>
        <w:tblCellMar>
          <w:top w:w="15" w:type="dxa"/>
          <w:left w:w="15" w:type="dxa"/>
          <w:bottom w:w="15" w:type="dxa"/>
          <w:right w:w="15" w:type="dxa"/>
        </w:tblCellMar>
        <w:tblLook w:val="04A0" w:firstRow="1" w:lastRow="0" w:firstColumn="1" w:lastColumn="0" w:noHBand="0" w:noVBand="1"/>
      </w:tblPr>
      <w:tblGrid>
        <w:gridCol w:w="2088"/>
        <w:gridCol w:w="2475"/>
        <w:gridCol w:w="2475"/>
        <w:gridCol w:w="2475"/>
        <w:gridCol w:w="2018"/>
      </w:tblGrid>
      <w:tr w:rsidR="00F877DB" w:rsidRPr="00437E0F" w14:paraId="42C4C0BA" w14:textId="77777777" w:rsidTr="00F877DB">
        <w:trPr>
          <w:trHeight w:val="1572"/>
          <w:tblHeader/>
          <w:jc w:val="center"/>
        </w:trPr>
        <w:tc>
          <w:tcPr>
            <w:tcW w:w="905" w:type="pct"/>
            <w:tcBorders>
              <w:top w:val="nil"/>
              <w:left w:val="nil"/>
              <w:bottom w:val="nil"/>
              <w:right w:val="nil"/>
            </w:tcBorders>
            <w:shd w:val="clear" w:color="auto" w:fill="0069A2"/>
            <w:tcMar>
              <w:top w:w="150" w:type="dxa"/>
              <w:left w:w="225" w:type="dxa"/>
              <w:bottom w:w="150" w:type="dxa"/>
              <w:right w:w="225" w:type="dxa"/>
            </w:tcMar>
            <w:vAlign w:val="center"/>
            <w:hideMark/>
          </w:tcPr>
          <w:p w14:paraId="66D2359F" w14:textId="77777777" w:rsidR="00F877DB" w:rsidRPr="00437E0F" w:rsidRDefault="00F877DB" w:rsidP="00F877DB">
            <w:pPr>
              <w:spacing w:line="240" w:lineRule="auto"/>
              <w:jc w:val="center"/>
              <w:rPr>
                <w:rFonts w:ascii="Times New Roman" w:eastAsia="Times New Roman" w:hAnsi="Times New Roman" w:cs="Times New Roman"/>
                <w:caps/>
                <w:color w:val="FFFFFF"/>
                <w:kern w:val="0"/>
                <w:sz w:val="21"/>
                <w:szCs w:val="21"/>
                <w:lang w:eastAsia="de-DE"/>
                <w14:ligatures w14:val="none"/>
              </w:rPr>
            </w:pPr>
            <w:r w:rsidRPr="00437E0F">
              <w:rPr>
                <w:rFonts w:ascii="Times New Roman" w:eastAsia="Times New Roman" w:hAnsi="Times New Roman" w:cs="Times New Roman"/>
                <w:b/>
                <w:bCs/>
                <w:caps/>
                <w:color w:val="FFFFFF"/>
                <w:kern w:val="0"/>
                <w:sz w:val="21"/>
                <w:szCs w:val="21"/>
                <w:lang w:eastAsia="de-DE"/>
                <w14:ligatures w14:val="none"/>
              </w:rPr>
              <w:t>KATEGORIE</w:t>
            </w:r>
          </w:p>
        </w:tc>
        <w:tc>
          <w:tcPr>
            <w:tcW w:w="1073" w:type="pct"/>
            <w:tcBorders>
              <w:left w:val="single" w:sz="6" w:space="0" w:color="464646"/>
            </w:tcBorders>
            <w:shd w:val="clear" w:color="auto" w:fill="0069A2"/>
            <w:tcMar>
              <w:top w:w="150" w:type="dxa"/>
              <w:left w:w="225" w:type="dxa"/>
              <w:bottom w:w="150" w:type="dxa"/>
              <w:right w:w="225" w:type="dxa"/>
            </w:tcMar>
            <w:vAlign w:val="center"/>
            <w:hideMark/>
          </w:tcPr>
          <w:p w14:paraId="296001B6" w14:textId="77777777" w:rsidR="00F877DB" w:rsidRPr="00437E0F" w:rsidRDefault="00F877DB" w:rsidP="00F877DB">
            <w:pPr>
              <w:spacing w:after="360" w:line="240" w:lineRule="auto"/>
              <w:jc w:val="center"/>
              <w:rPr>
                <w:rFonts w:ascii="Times New Roman" w:eastAsia="Times New Roman" w:hAnsi="Times New Roman" w:cs="Times New Roman"/>
                <w:caps/>
                <w:color w:val="FFFFFF"/>
                <w:kern w:val="0"/>
                <w:sz w:val="21"/>
                <w:szCs w:val="21"/>
                <w:lang w:eastAsia="de-DE"/>
                <w14:ligatures w14:val="none"/>
              </w:rPr>
            </w:pPr>
            <w:r w:rsidRPr="00437E0F">
              <w:rPr>
                <w:rFonts w:ascii="Times New Roman" w:eastAsia="Times New Roman" w:hAnsi="Times New Roman" w:cs="Times New Roman"/>
                <w:b/>
                <w:bCs/>
                <w:caps/>
                <w:color w:val="FFFFFF"/>
                <w:kern w:val="0"/>
                <w:sz w:val="21"/>
                <w:szCs w:val="21"/>
                <w:lang w:eastAsia="de-DE"/>
                <w14:ligatures w14:val="none"/>
              </w:rPr>
              <w:t>A</w:t>
            </w:r>
          </w:p>
          <w:p w14:paraId="632E5AA3" w14:textId="77777777" w:rsidR="00F877DB" w:rsidRPr="00437E0F" w:rsidRDefault="00F877DB" w:rsidP="00F877DB">
            <w:pPr>
              <w:spacing w:line="240" w:lineRule="auto"/>
              <w:jc w:val="center"/>
              <w:rPr>
                <w:rFonts w:ascii="Times New Roman" w:eastAsia="Times New Roman" w:hAnsi="Times New Roman" w:cs="Times New Roman"/>
                <w:caps/>
                <w:color w:val="FFFFFF"/>
                <w:kern w:val="0"/>
                <w:sz w:val="21"/>
                <w:szCs w:val="21"/>
                <w:lang w:eastAsia="de-DE"/>
                <w14:ligatures w14:val="none"/>
              </w:rPr>
            </w:pPr>
            <w:r w:rsidRPr="00437E0F">
              <w:rPr>
                <w:rFonts w:ascii="Times New Roman" w:eastAsia="Times New Roman" w:hAnsi="Times New Roman" w:cs="Times New Roman"/>
                <w:caps/>
                <w:color w:val="FFFFFF"/>
                <w:kern w:val="0"/>
                <w:sz w:val="21"/>
                <w:szCs w:val="21"/>
                <w:lang w:eastAsia="de-DE"/>
                <w14:ligatures w14:val="none"/>
              </w:rPr>
              <w:t>VERSCHREIBUNGS-PFLICHTIG</w:t>
            </w:r>
          </w:p>
        </w:tc>
        <w:tc>
          <w:tcPr>
            <w:tcW w:w="1073" w:type="pct"/>
            <w:tcBorders>
              <w:left w:val="single" w:sz="6" w:space="0" w:color="464646"/>
            </w:tcBorders>
            <w:shd w:val="clear" w:color="auto" w:fill="0069A2"/>
            <w:tcMar>
              <w:top w:w="150" w:type="dxa"/>
              <w:left w:w="225" w:type="dxa"/>
              <w:bottom w:w="150" w:type="dxa"/>
              <w:right w:w="225" w:type="dxa"/>
            </w:tcMar>
            <w:vAlign w:val="center"/>
            <w:hideMark/>
          </w:tcPr>
          <w:p w14:paraId="04580FE9" w14:textId="77777777" w:rsidR="00F877DB" w:rsidRPr="00437E0F" w:rsidRDefault="00F877DB" w:rsidP="00F877DB">
            <w:pPr>
              <w:spacing w:after="360" w:line="240" w:lineRule="auto"/>
              <w:jc w:val="center"/>
              <w:rPr>
                <w:rFonts w:ascii="Times New Roman" w:eastAsia="Times New Roman" w:hAnsi="Times New Roman" w:cs="Times New Roman"/>
                <w:caps/>
                <w:color w:val="FFFFFF"/>
                <w:kern w:val="0"/>
                <w:sz w:val="21"/>
                <w:szCs w:val="21"/>
                <w:lang w:eastAsia="de-DE"/>
                <w14:ligatures w14:val="none"/>
              </w:rPr>
            </w:pPr>
            <w:r w:rsidRPr="00437E0F">
              <w:rPr>
                <w:rFonts w:ascii="Times New Roman" w:eastAsia="Times New Roman" w:hAnsi="Times New Roman" w:cs="Times New Roman"/>
                <w:b/>
                <w:bCs/>
                <w:caps/>
                <w:color w:val="FFFFFF"/>
                <w:kern w:val="0"/>
                <w:sz w:val="21"/>
                <w:szCs w:val="21"/>
                <w:lang w:eastAsia="de-DE"/>
                <w14:ligatures w14:val="none"/>
              </w:rPr>
              <w:t>B</w:t>
            </w:r>
          </w:p>
          <w:p w14:paraId="41671850" w14:textId="77777777" w:rsidR="00F877DB" w:rsidRPr="00437E0F" w:rsidRDefault="00F877DB" w:rsidP="00F877DB">
            <w:pPr>
              <w:spacing w:line="240" w:lineRule="auto"/>
              <w:jc w:val="center"/>
              <w:rPr>
                <w:rFonts w:ascii="Times New Roman" w:eastAsia="Times New Roman" w:hAnsi="Times New Roman" w:cs="Times New Roman"/>
                <w:caps/>
                <w:color w:val="FFFFFF"/>
                <w:kern w:val="0"/>
                <w:sz w:val="21"/>
                <w:szCs w:val="21"/>
                <w:lang w:eastAsia="de-DE"/>
                <w14:ligatures w14:val="none"/>
              </w:rPr>
            </w:pPr>
            <w:r w:rsidRPr="00437E0F">
              <w:rPr>
                <w:rFonts w:ascii="Times New Roman" w:eastAsia="Times New Roman" w:hAnsi="Times New Roman" w:cs="Times New Roman"/>
                <w:caps/>
                <w:color w:val="FFFFFF"/>
                <w:kern w:val="0"/>
                <w:sz w:val="21"/>
                <w:szCs w:val="21"/>
                <w:lang w:eastAsia="de-DE"/>
                <w14:ligatures w14:val="none"/>
              </w:rPr>
              <w:t>VERSCHREIBUNGS-PFLICHTIG</w:t>
            </w:r>
          </w:p>
        </w:tc>
        <w:tc>
          <w:tcPr>
            <w:tcW w:w="1073" w:type="pct"/>
            <w:tcBorders>
              <w:left w:val="single" w:sz="6" w:space="0" w:color="464646"/>
            </w:tcBorders>
            <w:shd w:val="clear" w:color="auto" w:fill="0069A2"/>
            <w:tcMar>
              <w:top w:w="150" w:type="dxa"/>
              <w:left w:w="225" w:type="dxa"/>
              <w:bottom w:w="150" w:type="dxa"/>
              <w:right w:w="225" w:type="dxa"/>
            </w:tcMar>
            <w:vAlign w:val="center"/>
            <w:hideMark/>
          </w:tcPr>
          <w:p w14:paraId="76C90776" w14:textId="35638C1F" w:rsidR="00F877DB" w:rsidRPr="00437E0F" w:rsidRDefault="00F877DB" w:rsidP="00F877DB">
            <w:pPr>
              <w:spacing w:after="360" w:line="240" w:lineRule="auto"/>
              <w:jc w:val="center"/>
              <w:rPr>
                <w:rFonts w:ascii="Times New Roman" w:eastAsia="Times New Roman" w:hAnsi="Times New Roman" w:cs="Times New Roman"/>
                <w:b/>
                <w:bCs/>
                <w:caps/>
                <w:color w:val="FFFFFF"/>
                <w:kern w:val="0"/>
                <w:sz w:val="21"/>
                <w:szCs w:val="21"/>
                <w:lang w:eastAsia="de-DE"/>
                <w14:ligatures w14:val="none"/>
              </w:rPr>
            </w:pPr>
            <w:r w:rsidRPr="00437E0F">
              <w:rPr>
                <w:rFonts w:ascii="Times New Roman" w:eastAsia="Times New Roman" w:hAnsi="Times New Roman" w:cs="Times New Roman"/>
                <w:b/>
                <w:bCs/>
                <w:caps/>
                <w:color w:val="FFFFFF"/>
                <w:kern w:val="0"/>
                <w:sz w:val="21"/>
                <w:szCs w:val="21"/>
                <w:lang w:eastAsia="de-DE"/>
                <w14:ligatures w14:val="none"/>
              </w:rPr>
              <w:t>D</w:t>
            </w:r>
          </w:p>
          <w:p w14:paraId="02ED96B9" w14:textId="77777777" w:rsidR="00F877DB" w:rsidRPr="00437E0F" w:rsidRDefault="00F877DB" w:rsidP="00F877DB">
            <w:pPr>
              <w:spacing w:line="240" w:lineRule="auto"/>
              <w:jc w:val="center"/>
              <w:rPr>
                <w:rFonts w:ascii="Times New Roman" w:eastAsia="Times New Roman" w:hAnsi="Times New Roman" w:cs="Times New Roman"/>
                <w:caps/>
                <w:color w:val="FFFFFF"/>
                <w:kern w:val="0"/>
                <w:sz w:val="21"/>
                <w:szCs w:val="21"/>
                <w:lang w:eastAsia="de-DE"/>
                <w14:ligatures w14:val="none"/>
              </w:rPr>
            </w:pPr>
            <w:r w:rsidRPr="00437E0F">
              <w:rPr>
                <w:rFonts w:ascii="Times New Roman" w:eastAsia="Times New Roman" w:hAnsi="Times New Roman" w:cs="Times New Roman"/>
                <w:caps/>
                <w:color w:val="FFFFFF"/>
                <w:kern w:val="0"/>
                <w:sz w:val="21"/>
                <w:szCs w:val="21"/>
                <w:lang w:eastAsia="de-DE"/>
                <w14:ligatures w14:val="none"/>
              </w:rPr>
              <w:t>NICHT VERSCHREIBUNGS-PFLICHTIG</w:t>
            </w:r>
          </w:p>
        </w:tc>
        <w:tc>
          <w:tcPr>
            <w:tcW w:w="875" w:type="pct"/>
            <w:tcBorders>
              <w:left w:val="single" w:sz="6" w:space="0" w:color="464646"/>
            </w:tcBorders>
            <w:shd w:val="clear" w:color="auto" w:fill="0069A2"/>
            <w:tcMar>
              <w:top w:w="150" w:type="dxa"/>
              <w:left w:w="225" w:type="dxa"/>
              <w:bottom w:w="150" w:type="dxa"/>
              <w:right w:w="225" w:type="dxa"/>
            </w:tcMar>
            <w:vAlign w:val="center"/>
            <w:hideMark/>
          </w:tcPr>
          <w:p w14:paraId="6FBBDCAB" w14:textId="77777777" w:rsidR="00F877DB" w:rsidRPr="00437E0F" w:rsidRDefault="00F877DB" w:rsidP="00F877DB">
            <w:pPr>
              <w:spacing w:after="360" w:line="240" w:lineRule="auto"/>
              <w:jc w:val="center"/>
              <w:rPr>
                <w:rFonts w:ascii="Times New Roman" w:eastAsia="Times New Roman" w:hAnsi="Times New Roman" w:cs="Times New Roman"/>
                <w:caps/>
                <w:color w:val="FFFFFF"/>
                <w:kern w:val="0"/>
                <w:sz w:val="21"/>
                <w:szCs w:val="21"/>
                <w:lang w:eastAsia="de-DE"/>
                <w14:ligatures w14:val="none"/>
              </w:rPr>
            </w:pPr>
            <w:r w:rsidRPr="00437E0F">
              <w:rPr>
                <w:rFonts w:ascii="Times New Roman" w:eastAsia="Times New Roman" w:hAnsi="Times New Roman" w:cs="Times New Roman"/>
                <w:b/>
                <w:bCs/>
                <w:caps/>
                <w:color w:val="FFFFFF"/>
                <w:kern w:val="0"/>
                <w:sz w:val="21"/>
                <w:szCs w:val="21"/>
                <w:lang w:eastAsia="de-DE"/>
                <w14:ligatures w14:val="none"/>
              </w:rPr>
              <w:t>E</w:t>
            </w:r>
          </w:p>
          <w:p w14:paraId="150D856F" w14:textId="77777777" w:rsidR="00F877DB" w:rsidRPr="00437E0F" w:rsidRDefault="00F877DB" w:rsidP="00F877DB">
            <w:pPr>
              <w:spacing w:line="240" w:lineRule="auto"/>
              <w:jc w:val="center"/>
              <w:rPr>
                <w:rFonts w:ascii="Times New Roman" w:eastAsia="Times New Roman" w:hAnsi="Times New Roman" w:cs="Times New Roman"/>
                <w:caps/>
                <w:color w:val="FFFFFF"/>
                <w:kern w:val="0"/>
                <w:sz w:val="21"/>
                <w:szCs w:val="21"/>
                <w:lang w:eastAsia="de-DE"/>
                <w14:ligatures w14:val="none"/>
              </w:rPr>
            </w:pPr>
            <w:r w:rsidRPr="00437E0F">
              <w:rPr>
                <w:rFonts w:ascii="Times New Roman" w:eastAsia="Times New Roman" w:hAnsi="Times New Roman" w:cs="Times New Roman"/>
                <w:caps/>
                <w:color w:val="FFFFFF"/>
                <w:kern w:val="0"/>
                <w:sz w:val="21"/>
                <w:szCs w:val="21"/>
                <w:lang w:eastAsia="de-DE"/>
                <w14:ligatures w14:val="none"/>
              </w:rPr>
              <w:t>FREI VERKÄUFLICH</w:t>
            </w:r>
          </w:p>
        </w:tc>
      </w:tr>
      <w:tr w:rsidR="00F877DB" w:rsidRPr="00437E0F" w14:paraId="571A97B5" w14:textId="77777777" w:rsidTr="00F877DB">
        <w:trPr>
          <w:trHeight w:val="499"/>
          <w:jc w:val="center"/>
        </w:trPr>
        <w:tc>
          <w:tcPr>
            <w:tcW w:w="905" w:type="pct"/>
            <w:tcBorders>
              <w:left w:val="nil"/>
            </w:tcBorders>
            <w:shd w:val="clear" w:color="auto" w:fill="FFFFFF"/>
            <w:tcMar>
              <w:top w:w="150" w:type="dxa"/>
              <w:left w:w="225" w:type="dxa"/>
              <w:bottom w:w="150" w:type="dxa"/>
              <w:right w:w="225" w:type="dxa"/>
            </w:tcMar>
            <w:vAlign w:val="center"/>
            <w:hideMark/>
          </w:tcPr>
          <w:p w14:paraId="11226B67"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b/>
                <w:bCs/>
                <w:color w:val="464646"/>
                <w:kern w:val="0"/>
                <w:sz w:val="21"/>
                <w:szCs w:val="21"/>
                <w:lang w:eastAsia="de-DE"/>
                <w14:ligatures w14:val="none"/>
              </w:rPr>
              <w:t>Abgabestelle/n</w:t>
            </w:r>
          </w:p>
        </w:tc>
        <w:tc>
          <w:tcPr>
            <w:tcW w:w="1073" w:type="pct"/>
            <w:tcBorders>
              <w:left w:val="single" w:sz="6" w:space="0" w:color="BDE0F4"/>
            </w:tcBorders>
            <w:shd w:val="clear" w:color="auto" w:fill="FFFFFF"/>
            <w:tcMar>
              <w:top w:w="150" w:type="dxa"/>
              <w:left w:w="225" w:type="dxa"/>
              <w:bottom w:w="150" w:type="dxa"/>
              <w:right w:w="225" w:type="dxa"/>
            </w:tcMar>
            <w:vAlign w:val="center"/>
            <w:hideMark/>
          </w:tcPr>
          <w:p w14:paraId="707EFAFF"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t>Arztpraxis*, Apotheke</w:t>
            </w:r>
          </w:p>
        </w:tc>
        <w:tc>
          <w:tcPr>
            <w:tcW w:w="1073" w:type="pct"/>
            <w:tcBorders>
              <w:left w:val="single" w:sz="6" w:space="0" w:color="BDE0F4"/>
            </w:tcBorders>
            <w:shd w:val="clear" w:color="auto" w:fill="FFFFFF"/>
            <w:tcMar>
              <w:top w:w="150" w:type="dxa"/>
              <w:left w:w="225" w:type="dxa"/>
              <w:bottom w:w="150" w:type="dxa"/>
              <w:right w:w="225" w:type="dxa"/>
            </w:tcMar>
            <w:vAlign w:val="center"/>
            <w:hideMark/>
          </w:tcPr>
          <w:p w14:paraId="52700BC3"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t>Arztpraxis*, Apotheke</w:t>
            </w:r>
          </w:p>
        </w:tc>
        <w:tc>
          <w:tcPr>
            <w:tcW w:w="1073" w:type="pct"/>
            <w:tcBorders>
              <w:left w:val="single" w:sz="6" w:space="0" w:color="BDE0F4"/>
            </w:tcBorders>
            <w:shd w:val="clear" w:color="auto" w:fill="FFFFFF"/>
            <w:tcMar>
              <w:top w:w="150" w:type="dxa"/>
              <w:left w:w="225" w:type="dxa"/>
              <w:bottom w:w="150" w:type="dxa"/>
              <w:right w:w="225" w:type="dxa"/>
            </w:tcMar>
            <w:vAlign w:val="center"/>
            <w:hideMark/>
          </w:tcPr>
          <w:p w14:paraId="2F800CBC"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t>Drogerie, Apotheke</w:t>
            </w:r>
          </w:p>
        </w:tc>
        <w:tc>
          <w:tcPr>
            <w:tcW w:w="875" w:type="pct"/>
            <w:tcBorders>
              <w:left w:val="single" w:sz="6" w:space="0" w:color="BDE0F4"/>
            </w:tcBorders>
            <w:shd w:val="clear" w:color="auto" w:fill="FFFFFF"/>
            <w:tcMar>
              <w:top w:w="150" w:type="dxa"/>
              <w:left w:w="225" w:type="dxa"/>
              <w:bottom w:w="150" w:type="dxa"/>
              <w:right w:w="225" w:type="dxa"/>
            </w:tcMar>
            <w:vAlign w:val="center"/>
            <w:hideMark/>
          </w:tcPr>
          <w:p w14:paraId="5E755A6B"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t>Detailhandel</w:t>
            </w:r>
          </w:p>
        </w:tc>
      </w:tr>
      <w:tr w:rsidR="00F877DB" w:rsidRPr="00437E0F" w14:paraId="5CBED905" w14:textId="77777777" w:rsidTr="00F877DB">
        <w:trPr>
          <w:trHeight w:val="2059"/>
          <w:jc w:val="center"/>
        </w:trPr>
        <w:tc>
          <w:tcPr>
            <w:tcW w:w="905" w:type="pct"/>
            <w:tcBorders>
              <w:left w:val="nil"/>
            </w:tcBorders>
            <w:shd w:val="clear" w:color="auto" w:fill="DFF0F9"/>
            <w:tcMar>
              <w:top w:w="150" w:type="dxa"/>
              <w:left w:w="225" w:type="dxa"/>
              <w:bottom w:w="150" w:type="dxa"/>
              <w:right w:w="225" w:type="dxa"/>
            </w:tcMar>
            <w:vAlign w:val="center"/>
            <w:hideMark/>
          </w:tcPr>
          <w:p w14:paraId="323AD69E"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b/>
                <w:bCs/>
                <w:color w:val="464646"/>
                <w:kern w:val="0"/>
                <w:sz w:val="21"/>
                <w:szCs w:val="21"/>
                <w:lang w:eastAsia="de-DE"/>
                <w14:ligatures w14:val="none"/>
              </w:rPr>
              <w:t>Abgabe</w:t>
            </w:r>
          </w:p>
        </w:tc>
        <w:tc>
          <w:tcPr>
            <w:tcW w:w="1073" w:type="pct"/>
            <w:tcBorders>
              <w:left w:val="single" w:sz="6" w:space="0" w:color="BDE0F4"/>
            </w:tcBorders>
            <w:shd w:val="clear" w:color="auto" w:fill="DFF0F9"/>
            <w:tcMar>
              <w:top w:w="150" w:type="dxa"/>
              <w:left w:w="225" w:type="dxa"/>
              <w:bottom w:w="150" w:type="dxa"/>
              <w:right w:w="225" w:type="dxa"/>
            </w:tcMar>
            <w:vAlign w:val="center"/>
            <w:hideMark/>
          </w:tcPr>
          <w:p w14:paraId="16483967"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t>Einmal auf ärztliche Verschreibung oder persönliche Abgabe durch den Arzt</w:t>
            </w:r>
          </w:p>
        </w:tc>
        <w:tc>
          <w:tcPr>
            <w:tcW w:w="1073" w:type="pct"/>
            <w:tcBorders>
              <w:left w:val="single" w:sz="6" w:space="0" w:color="BDE0F4"/>
            </w:tcBorders>
            <w:shd w:val="clear" w:color="auto" w:fill="DFF0F9"/>
            <w:tcMar>
              <w:top w:w="150" w:type="dxa"/>
              <w:left w:w="225" w:type="dxa"/>
              <w:bottom w:w="150" w:type="dxa"/>
              <w:right w:w="225" w:type="dxa"/>
            </w:tcMar>
            <w:vAlign w:val="center"/>
            <w:hideMark/>
          </w:tcPr>
          <w:p w14:paraId="6BCEDB43" w14:textId="77777777" w:rsidR="00F877DB" w:rsidRPr="00437E0F" w:rsidRDefault="00F877DB" w:rsidP="00F877DB">
            <w:pPr>
              <w:spacing w:after="360"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t>a) auf ärztliche Verschreibung</w:t>
            </w:r>
          </w:p>
          <w:p w14:paraId="79BE980A"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br/>
              <w:t>b) persönliche Abgabe durch Apotheker/Arzt, dokumentiert</w:t>
            </w:r>
          </w:p>
        </w:tc>
        <w:tc>
          <w:tcPr>
            <w:tcW w:w="1073" w:type="pct"/>
            <w:tcBorders>
              <w:left w:val="single" w:sz="6" w:space="0" w:color="BDE0F4"/>
            </w:tcBorders>
            <w:shd w:val="clear" w:color="auto" w:fill="DFF0F9"/>
            <w:tcMar>
              <w:top w:w="150" w:type="dxa"/>
              <w:left w:w="225" w:type="dxa"/>
              <w:bottom w:w="150" w:type="dxa"/>
              <w:right w:w="225" w:type="dxa"/>
            </w:tcMar>
            <w:vAlign w:val="center"/>
            <w:hideMark/>
          </w:tcPr>
          <w:p w14:paraId="1FDBBDD5"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t>Nach Fachberatung</w:t>
            </w:r>
          </w:p>
        </w:tc>
        <w:tc>
          <w:tcPr>
            <w:tcW w:w="875" w:type="pct"/>
            <w:tcBorders>
              <w:left w:val="single" w:sz="6" w:space="0" w:color="BDE0F4"/>
            </w:tcBorders>
            <w:shd w:val="clear" w:color="auto" w:fill="DFF0F9"/>
            <w:tcMar>
              <w:top w:w="150" w:type="dxa"/>
              <w:left w:w="225" w:type="dxa"/>
              <w:bottom w:w="150" w:type="dxa"/>
              <w:right w:w="225" w:type="dxa"/>
            </w:tcMar>
            <w:vAlign w:val="center"/>
            <w:hideMark/>
          </w:tcPr>
          <w:p w14:paraId="4C0E5424"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t>Ohne Fachberatung</w:t>
            </w:r>
          </w:p>
        </w:tc>
      </w:tr>
      <w:tr w:rsidR="00F877DB" w:rsidRPr="00437E0F" w14:paraId="15D36EC3" w14:textId="77777777" w:rsidTr="00F877DB">
        <w:trPr>
          <w:trHeight w:val="486"/>
          <w:jc w:val="center"/>
        </w:trPr>
        <w:tc>
          <w:tcPr>
            <w:tcW w:w="905" w:type="pct"/>
            <w:tcBorders>
              <w:left w:val="nil"/>
            </w:tcBorders>
            <w:shd w:val="clear" w:color="auto" w:fill="FFFFFF"/>
            <w:tcMar>
              <w:top w:w="150" w:type="dxa"/>
              <w:left w:w="225" w:type="dxa"/>
              <w:bottom w:w="150" w:type="dxa"/>
              <w:right w:w="225" w:type="dxa"/>
            </w:tcMar>
            <w:vAlign w:val="center"/>
            <w:hideMark/>
          </w:tcPr>
          <w:p w14:paraId="20987CE5"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b/>
                <w:bCs/>
                <w:color w:val="464646"/>
                <w:kern w:val="0"/>
                <w:sz w:val="21"/>
                <w:szCs w:val="21"/>
                <w:lang w:eastAsia="de-DE"/>
                <w14:ligatures w14:val="none"/>
              </w:rPr>
              <w:t>Dokumentations-pflicht</w:t>
            </w:r>
          </w:p>
        </w:tc>
        <w:tc>
          <w:tcPr>
            <w:tcW w:w="1073" w:type="pct"/>
            <w:tcBorders>
              <w:left w:val="single" w:sz="6" w:space="0" w:color="BDE0F4"/>
            </w:tcBorders>
            <w:shd w:val="clear" w:color="auto" w:fill="FFFFFF"/>
            <w:tcMar>
              <w:top w:w="150" w:type="dxa"/>
              <w:left w:w="225" w:type="dxa"/>
              <w:bottom w:w="150" w:type="dxa"/>
              <w:right w:w="225" w:type="dxa"/>
            </w:tcMar>
            <w:vAlign w:val="center"/>
            <w:hideMark/>
          </w:tcPr>
          <w:p w14:paraId="14FC1C22"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t>ja</w:t>
            </w:r>
          </w:p>
        </w:tc>
        <w:tc>
          <w:tcPr>
            <w:tcW w:w="1073" w:type="pct"/>
            <w:tcBorders>
              <w:left w:val="single" w:sz="6" w:space="0" w:color="BDE0F4"/>
            </w:tcBorders>
            <w:shd w:val="clear" w:color="auto" w:fill="FFFFFF"/>
            <w:tcMar>
              <w:top w:w="150" w:type="dxa"/>
              <w:left w:w="225" w:type="dxa"/>
              <w:bottom w:w="150" w:type="dxa"/>
              <w:right w:w="225" w:type="dxa"/>
            </w:tcMar>
            <w:vAlign w:val="center"/>
            <w:hideMark/>
          </w:tcPr>
          <w:p w14:paraId="26D00E02"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t>ja</w:t>
            </w:r>
          </w:p>
        </w:tc>
        <w:tc>
          <w:tcPr>
            <w:tcW w:w="1073" w:type="pct"/>
            <w:tcBorders>
              <w:left w:val="single" w:sz="6" w:space="0" w:color="BDE0F4"/>
            </w:tcBorders>
            <w:shd w:val="clear" w:color="auto" w:fill="FFFFFF"/>
            <w:tcMar>
              <w:top w:w="150" w:type="dxa"/>
              <w:left w:w="225" w:type="dxa"/>
              <w:bottom w:w="150" w:type="dxa"/>
              <w:right w:w="225" w:type="dxa"/>
            </w:tcMar>
            <w:vAlign w:val="center"/>
            <w:hideMark/>
          </w:tcPr>
          <w:p w14:paraId="16B62B69"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t>nein</w:t>
            </w:r>
          </w:p>
        </w:tc>
        <w:tc>
          <w:tcPr>
            <w:tcW w:w="875" w:type="pct"/>
            <w:tcBorders>
              <w:left w:val="single" w:sz="6" w:space="0" w:color="BDE0F4"/>
            </w:tcBorders>
            <w:shd w:val="clear" w:color="auto" w:fill="FFFFFF"/>
            <w:tcMar>
              <w:top w:w="150" w:type="dxa"/>
              <w:left w:w="225" w:type="dxa"/>
              <w:bottom w:w="150" w:type="dxa"/>
              <w:right w:w="225" w:type="dxa"/>
            </w:tcMar>
            <w:vAlign w:val="center"/>
            <w:hideMark/>
          </w:tcPr>
          <w:p w14:paraId="65AC15F6"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t>nein</w:t>
            </w:r>
          </w:p>
        </w:tc>
      </w:tr>
      <w:tr w:rsidR="00F877DB" w:rsidRPr="00437E0F" w14:paraId="4F803C57" w14:textId="77777777" w:rsidTr="00F877DB">
        <w:trPr>
          <w:trHeight w:val="486"/>
          <w:jc w:val="center"/>
        </w:trPr>
        <w:tc>
          <w:tcPr>
            <w:tcW w:w="905" w:type="pct"/>
            <w:tcBorders>
              <w:left w:val="nil"/>
              <w:bottom w:val="nil"/>
            </w:tcBorders>
            <w:shd w:val="clear" w:color="auto" w:fill="DFF0F9"/>
            <w:tcMar>
              <w:top w:w="150" w:type="dxa"/>
              <w:left w:w="225" w:type="dxa"/>
              <w:bottom w:w="150" w:type="dxa"/>
              <w:right w:w="225" w:type="dxa"/>
            </w:tcMar>
            <w:vAlign w:val="center"/>
            <w:hideMark/>
          </w:tcPr>
          <w:p w14:paraId="6B4CF3FF"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b/>
                <w:bCs/>
                <w:color w:val="464646"/>
                <w:kern w:val="0"/>
                <w:sz w:val="21"/>
                <w:szCs w:val="21"/>
                <w:lang w:eastAsia="de-DE"/>
                <w14:ligatures w14:val="none"/>
              </w:rPr>
              <w:t>Beispiel</w:t>
            </w:r>
          </w:p>
        </w:tc>
        <w:tc>
          <w:tcPr>
            <w:tcW w:w="1073" w:type="pct"/>
            <w:tcBorders>
              <w:left w:val="single" w:sz="6" w:space="0" w:color="BDE0F4"/>
              <w:bottom w:val="nil"/>
            </w:tcBorders>
            <w:shd w:val="clear" w:color="auto" w:fill="DFF0F9"/>
            <w:tcMar>
              <w:top w:w="150" w:type="dxa"/>
              <w:left w:w="225" w:type="dxa"/>
              <w:bottom w:w="150" w:type="dxa"/>
              <w:right w:w="225" w:type="dxa"/>
            </w:tcMar>
            <w:vAlign w:val="center"/>
            <w:hideMark/>
          </w:tcPr>
          <w:p w14:paraId="02397095"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t>Antibiotika</w:t>
            </w:r>
          </w:p>
        </w:tc>
        <w:tc>
          <w:tcPr>
            <w:tcW w:w="1073" w:type="pct"/>
            <w:tcBorders>
              <w:left w:val="single" w:sz="6" w:space="0" w:color="BDE0F4"/>
              <w:bottom w:val="nil"/>
            </w:tcBorders>
            <w:shd w:val="clear" w:color="auto" w:fill="DFF0F9"/>
            <w:tcMar>
              <w:top w:w="150" w:type="dxa"/>
              <w:left w:w="225" w:type="dxa"/>
              <w:bottom w:w="150" w:type="dxa"/>
              <w:right w:w="225" w:type="dxa"/>
            </w:tcMar>
            <w:vAlign w:val="center"/>
            <w:hideMark/>
          </w:tcPr>
          <w:p w14:paraId="70A0A9AA"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t>Blutdruckmittel</w:t>
            </w:r>
          </w:p>
        </w:tc>
        <w:tc>
          <w:tcPr>
            <w:tcW w:w="1073" w:type="pct"/>
            <w:tcBorders>
              <w:left w:val="single" w:sz="6" w:space="0" w:color="BDE0F4"/>
              <w:bottom w:val="nil"/>
            </w:tcBorders>
            <w:shd w:val="clear" w:color="auto" w:fill="DFF0F9"/>
            <w:tcMar>
              <w:top w:w="150" w:type="dxa"/>
              <w:left w:w="225" w:type="dxa"/>
              <w:bottom w:w="150" w:type="dxa"/>
              <w:right w:w="225" w:type="dxa"/>
            </w:tcMar>
            <w:vAlign w:val="center"/>
            <w:hideMark/>
          </w:tcPr>
          <w:p w14:paraId="5E99DF09"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t>Pflanzliche Arzneimittel</w:t>
            </w:r>
          </w:p>
        </w:tc>
        <w:tc>
          <w:tcPr>
            <w:tcW w:w="875" w:type="pct"/>
            <w:tcBorders>
              <w:left w:val="single" w:sz="6" w:space="0" w:color="BDE0F4"/>
              <w:bottom w:val="nil"/>
            </w:tcBorders>
            <w:shd w:val="clear" w:color="auto" w:fill="DFF0F9"/>
            <w:tcMar>
              <w:top w:w="150" w:type="dxa"/>
              <w:left w:w="225" w:type="dxa"/>
              <w:bottom w:w="150" w:type="dxa"/>
              <w:right w:w="225" w:type="dxa"/>
            </w:tcMar>
            <w:vAlign w:val="center"/>
            <w:hideMark/>
          </w:tcPr>
          <w:p w14:paraId="500E4BD6" w14:textId="77777777" w:rsidR="00F877DB" w:rsidRPr="00437E0F" w:rsidRDefault="00F877DB" w:rsidP="00F877DB">
            <w:pPr>
              <w:spacing w:line="240" w:lineRule="auto"/>
              <w:rPr>
                <w:rFonts w:ascii="Times New Roman" w:eastAsia="Times New Roman" w:hAnsi="Times New Roman" w:cs="Times New Roman"/>
                <w:color w:val="464646"/>
                <w:kern w:val="0"/>
                <w:sz w:val="21"/>
                <w:szCs w:val="21"/>
                <w:lang w:eastAsia="de-DE"/>
                <w14:ligatures w14:val="none"/>
              </w:rPr>
            </w:pPr>
            <w:r w:rsidRPr="00437E0F">
              <w:rPr>
                <w:rFonts w:ascii="Times New Roman" w:eastAsia="Times New Roman" w:hAnsi="Times New Roman" w:cs="Times New Roman"/>
                <w:color w:val="464646"/>
                <w:kern w:val="0"/>
                <w:sz w:val="21"/>
                <w:szCs w:val="21"/>
                <w:lang w:eastAsia="de-DE"/>
                <w14:ligatures w14:val="none"/>
              </w:rPr>
              <w:t>Hustenbonbons</w:t>
            </w:r>
          </w:p>
        </w:tc>
      </w:tr>
    </w:tbl>
    <w:p w14:paraId="28F5EAEE" w14:textId="77777777" w:rsidR="00F877DB" w:rsidRDefault="00437E0F" w:rsidP="00477FFB">
      <w:pPr>
        <w:pStyle w:val="KeinLeerraum"/>
        <w:rPr>
          <w:lang w:eastAsia="de-DE"/>
        </w:rPr>
      </w:pPr>
      <w:r w:rsidRPr="00437E0F">
        <w:rPr>
          <w:lang w:eastAsia="de-DE"/>
        </w:rPr>
        <w:t>*entsprechend den Bestimmungen der Selbstdispensation Swissmedic</w:t>
      </w:r>
    </w:p>
    <w:p w14:paraId="329A2A5E" w14:textId="25CB83C5" w:rsidR="00437E0F" w:rsidRPr="00437E0F" w:rsidRDefault="00437E0F" w:rsidP="00477FFB">
      <w:pPr>
        <w:pStyle w:val="KeinLeerraum"/>
        <w:rPr>
          <w:lang w:eastAsia="de-DE"/>
        </w:rPr>
      </w:pPr>
      <w:r w:rsidRPr="00437E0F">
        <w:rPr>
          <w:lang w:eastAsia="de-DE"/>
        </w:rPr>
        <w:br/>
      </w:r>
      <w:r w:rsidR="00106F8C">
        <w:rPr>
          <w:b/>
          <w:bCs/>
          <w:lang w:eastAsia="de-DE"/>
        </w:rPr>
        <w:t>6</w:t>
      </w:r>
      <w:r w:rsidRPr="00437E0F">
        <w:rPr>
          <w:lang w:eastAsia="de-DE"/>
        </w:rPr>
        <w:t xml:space="preserve">. Die Waren nach dem FEFO-Prinzip (First </w:t>
      </w:r>
      <w:proofErr w:type="spellStart"/>
      <w:r w:rsidRPr="00437E0F">
        <w:rPr>
          <w:lang w:eastAsia="de-DE"/>
        </w:rPr>
        <w:t>Expired</w:t>
      </w:r>
      <w:proofErr w:type="spellEnd"/>
      <w:r w:rsidRPr="00437E0F">
        <w:rPr>
          <w:lang w:eastAsia="de-DE"/>
        </w:rPr>
        <w:t xml:space="preserve"> – First Out) ins Lager einsortieren. D. h. jene Waren, die zuerst ablaufen, zuvorderst im Lager einsortieren.</w:t>
      </w:r>
      <w:r w:rsidR="00387FC2">
        <w:rPr>
          <w:lang w:eastAsia="de-DE"/>
        </w:rPr>
        <w:t xml:space="preserve"> Dies </w:t>
      </w:r>
      <w:proofErr w:type="spellStart"/>
      <w:r w:rsidR="00387FC2">
        <w:rPr>
          <w:lang w:eastAsia="de-DE"/>
        </w:rPr>
        <w:t>erfolg</w:t>
      </w:r>
      <w:proofErr w:type="spellEnd"/>
      <w:r w:rsidR="00387FC2">
        <w:rPr>
          <w:lang w:eastAsia="de-DE"/>
        </w:rPr>
        <w:t xml:space="preserve"> jedoch durch den </w:t>
      </w:r>
      <w:proofErr w:type="gramStart"/>
      <w:r w:rsidR="00387FC2">
        <w:rPr>
          <w:lang w:eastAsia="de-DE"/>
        </w:rPr>
        <w:t>AMI Automaten</w:t>
      </w:r>
      <w:proofErr w:type="gramEnd"/>
      <w:r w:rsidR="00387FC2">
        <w:rPr>
          <w:lang w:eastAsia="de-DE"/>
        </w:rPr>
        <w:t xml:space="preserve"> selbstständig.</w:t>
      </w:r>
      <w:r w:rsidRPr="00437E0F">
        <w:rPr>
          <w:lang w:eastAsia="de-DE"/>
        </w:rPr>
        <w:br/>
        <w:t xml:space="preserve">      - Kühlschrank*, Lagerraum oder Tresor (für BMT siehe </w:t>
      </w:r>
      <w:r w:rsidR="00106F8C">
        <w:rPr>
          <w:lang w:eastAsia="de-DE"/>
        </w:rPr>
        <w:t>«SOP</w:t>
      </w:r>
      <w:r w:rsidRPr="00437E0F">
        <w:rPr>
          <w:lang w:eastAsia="de-DE"/>
        </w:rPr>
        <w:t xml:space="preserve"> BMT</w:t>
      </w:r>
      <w:r w:rsidR="00106F8C">
        <w:rPr>
          <w:lang w:eastAsia="de-DE"/>
        </w:rPr>
        <w:t>»</w:t>
      </w:r>
      <w:r w:rsidRPr="00437E0F">
        <w:rPr>
          <w:lang w:eastAsia="de-DE"/>
        </w:rPr>
        <w:t>)</w:t>
      </w:r>
      <w:r w:rsidRPr="00437E0F">
        <w:rPr>
          <w:lang w:eastAsia="de-DE"/>
        </w:rPr>
        <w:br/>
        <w:t>     - Chemikalien, Arzneien, Lebensmittel und abgelaufene Medikamente müssen klar getrennt aufbewahrt werden.</w:t>
      </w:r>
    </w:p>
    <w:p w14:paraId="77B30600" w14:textId="0A2458FD" w:rsidR="00F877DB" w:rsidRDefault="00437E0F" w:rsidP="00477FFB">
      <w:pPr>
        <w:pStyle w:val="KeinLeerraum"/>
        <w:rPr>
          <w:b/>
          <w:bCs/>
          <w:lang w:eastAsia="de-DE"/>
        </w:rPr>
      </w:pPr>
      <w:proofErr w:type="gramStart"/>
      <w:r w:rsidRPr="00437E0F">
        <w:rPr>
          <w:b/>
          <w:bCs/>
          <w:lang w:eastAsia="de-DE"/>
        </w:rPr>
        <w:t>FEFO System</w:t>
      </w:r>
      <w:proofErr w:type="gramEnd"/>
      <w:r w:rsidRPr="00437E0F">
        <w:rPr>
          <w:b/>
          <w:bCs/>
          <w:lang w:eastAsia="de-DE"/>
        </w:rPr>
        <w:t xml:space="preserve"> (First </w:t>
      </w:r>
      <w:proofErr w:type="spellStart"/>
      <w:r w:rsidRPr="00437E0F">
        <w:rPr>
          <w:b/>
          <w:bCs/>
          <w:lang w:eastAsia="de-DE"/>
        </w:rPr>
        <w:t>expire</w:t>
      </w:r>
      <w:proofErr w:type="spellEnd"/>
      <w:r w:rsidRPr="00437E0F">
        <w:rPr>
          <w:b/>
          <w:bCs/>
          <w:lang w:eastAsia="de-DE"/>
        </w:rPr>
        <w:t xml:space="preserve"> – </w:t>
      </w:r>
      <w:proofErr w:type="spellStart"/>
      <w:r w:rsidRPr="00437E0F">
        <w:rPr>
          <w:b/>
          <w:bCs/>
          <w:lang w:eastAsia="de-DE"/>
        </w:rPr>
        <w:t>first</w:t>
      </w:r>
      <w:proofErr w:type="spellEnd"/>
      <w:r w:rsidRPr="00437E0F">
        <w:rPr>
          <w:b/>
          <w:bCs/>
          <w:lang w:eastAsia="de-DE"/>
        </w:rPr>
        <w:t xml:space="preserve"> out): Die Packung mit der kürzesten Verfallsdauer wird zuvorderst eingereiht, damit sie als nächste abgegeben wird.</w:t>
      </w:r>
    </w:p>
    <w:p w14:paraId="4F0535F8" w14:textId="074B26AF" w:rsidR="00454550" w:rsidRPr="00454550" w:rsidRDefault="00454550" w:rsidP="00477FFB">
      <w:pPr>
        <w:pStyle w:val="KeinLeerraum"/>
        <w:rPr>
          <w:lang w:eastAsia="de-DE"/>
        </w:rPr>
      </w:pPr>
      <w:r>
        <w:rPr>
          <w:lang w:eastAsia="de-DE"/>
        </w:rPr>
        <w:t>Dies wird in unserem Fall jedoch vom Medikamentenroboter automatisch übernommen.</w:t>
      </w:r>
    </w:p>
    <w:p w14:paraId="7D8375CB" w14:textId="77777777" w:rsidR="00F877DB" w:rsidRPr="00437E0F" w:rsidRDefault="00F877DB" w:rsidP="00477FFB">
      <w:pPr>
        <w:pStyle w:val="KeinLeerraum"/>
        <w:rPr>
          <w:lang w:eastAsia="de-DE"/>
        </w:rPr>
      </w:pPr>
    </w:p>
    <w:p w14:paraId="52EA8675" w14:textId="66A7B999" w:rsidR="00437E0F" w:rsidRDefault="00106F8C" w:rsidP="00477FFB">
      <w:pPr>
        <w:pStyle w:val="KeinLeerraum"/>
        <w:rPr>
          <w:lang w:eastAsia="de-DE"/>
        </w:rPr>
      </w:pPr>
      <w:r w:rsidRPr="00106F8C">
        <w:rPr>
          <w:b/>
          <w:bCs/>
          <w:lang w:eastAsia="de-DE"/>
        </w:rPr>
        <w:t>7</w:t>
      </w:r>
      <w:r w:rsidR="00437E0F" w:rsidRPr="00437E0F">
        <w:rPr>
          <w:lang w:eastAsia="de-DE"/>
        </w:rPr>
        <w:t xml:space="preserve">. Allfällige Falschlieferungen separat aufbewahren und zur Rücksendung bereit machen. Hierzu wird der Packschein </w:t>
      </w:r>
      <w:r w:rsidR="000D0A7A">
        <w:rPr>
          <w:lang w:eastAsia="de-DE"/>
        </w:rPr>
        <w:t xml:space="preserve">SHC </w:t>
      </w:r>
      <w:r w:rsidR="00437E0F" w:rsidRPr="00437E0F">
        <w:rPr>
          <w:lang w:eastAsia="de-DE"/>
        </w:rPr>
        <w:t xml:space="preserve">benötigt. Dieser wird ordentlich ausgefüllt und unterschrieben. </w:t>
      </w:r>
      <w:r w:rsidR="00437E0F" w:rsidRPr="00106F8C">
        <w:rPr>
          <w:u w:val="single"/>
          <w:lang w:eastAsia="de-DE"/>
        </w:rPr>
        <w:t>Achtung! Frist 10 Tage nach Erhalt der Lieferung</w:t>
      </w:r>
      <w:r w:rsidR="00437E0F" w:rsidRPr="00437E0F">
        <w:rPr>
          <w:lang w:eastAsia="de-DE"/>
        </w:rPr>
        <w:t>.</w:t>
      </w:r>
      <w:r w:rsidR="00437E0F" w:rsidRPr="00437E0F">
        <w:rPr>
          <w:lang w:eastAsia="de-DE"/>
        </w:rPr>
        <w:br/>
        <w:t xml:space="preserve">     -In die </w:t>
      </w:r>
      <w:proofErr w:type="spellStart"/>
      <w:r w:rsidR="00437E0F" w:rsidRPr="00437E0F">
        <w:rPr>
          <w:lang w:eastAsia="de-DE"/>
        </w:rPr>
        <w:t>Retourenliste</w:t>
      </w:r>
      <w:proofErr w:type="spellEnd"/>
      <w:r w:rsidR="00437E0F" w:rsidRPr="00437E0F">
        <w:rPr>
          <w:lang w:eastAsia="de-DE"/>
        </w:rPr>
        <w:t xml:space="preserve"> eintragen, Lieferanten informieren (siehe Register 4 „Retouren und Entsorgungen“)</w:t>
      </w:r>
    </w:p>
    <w:p w14:paraId="63600EDF" w14:textId="77777777" w:rsidR="00106F8C" w:rsidRDefault="00106F8C" w:rsidP="00477FFB">
      <w:pPr>
        <w:pStyle w:val="KeinLeerraum"/>
        <w:rPr>
          <w:lang w:eastAsia="de-DE"/>
        </w:rPr>
      </w:pPr>
    </w:p>
    <w:p w14:paraId="79E71940" w14:textId="04D21311" w:rsidR="00477FFB" w:rsidRDefault="00106F8C" w:rsidP="00477FFB">
      <w:pPr>
        <w:pStyle w:val="KeinLeerraum"/>
        <w:rPr>
          <w:lang w:eastAsia="de-DE"/>
        </w:rPr>
      </w:pPr>
      <w:r>
        <w:rPr>
          <w:b/>
          <w:bCs/>
          <w:lang w:eastAsia="de-DE"/>
        </w:rPr>
        <w:t>8</w:t>
      </w:r>
      <w:r w:rsidRPr="00437E0F">
        <w:rPr>
          <w:lang w:eastAsia="de-DE"/>
        </w:rPr>
        <w:t xml:space="preserve">. </w:t>
      </w:r>
      <w:r w:rsidR="00691895" w:rsidRPr="00691895">
        <w:rPr>
          <w:color w:val="000000" w:themeColor="text1"/>
          <w:lang w:eastAsia="de-DE"/>
        </w:rPr>
        <w:t>Die Heilmittel werden für die Abgabe an den Patienten mit dem Preis, dem Praxisnamen, dem Patientennamen und dem Einnahmeschema des Medikamentes beschriftet. Die Abgabe von Mustern erfolgt nur nach vorheriger Rücksprache mit dem Arzt.</w:t>
      </w:r>
    </w:p>
    <w:p w14:paraId="3EE8CB6F" w14:textId="22463189" w:rsidR="00106F8C" w:rsidRDefault="00106F8C" w:rsidP="00477FFB">
      <w:pPr>
        <w:pStyle w:val="KeinLeerraum"/>
        <w:rPr>
          <w:lang w:eastAsia="de-DE"/>
        </w:rPr>
      </w:pPr>
      <w:r w:rsidRPr="00437E0F">
        <w:rPr>
          <w:b/>
          <w:bCs/>
          <w:lang w:eastAsia="de-DE"/>
        </w:rPr>
        <w:t>Muster müssen gratis abgegeben werden</w:t>
      </w:r>
      <w:r w:rsidRPr="00437E0F">
        <w:rPr>
          <w:lang w:eastAsia="de-DE"/>
        </w:rPr>
        <w:t>.</w:t>
      </w:r>
      <w:r w:rsidRPr="00437E0F">
        <w:rPr>
          <w:lang w:eastAsia="de-DE"/>
        </w:rPr>
        <w:br/>
        <w:t>Gratismuster werden getrennt in der Apotheke eingelagert.</w:t>
      </w:r>
      <w:r w:rsidRPr="00437E0F">
        <w:rPr>
          <w:lang w:eastAsia="de-DE"/>
        </w:rPr>
        <w:br/>
      </w:r>
      <w:r w:rsidRPr="00437E0F">
        <w:rPr>
          <w:lang w:eastAsia="de-DE"/>
        </w:rPr>
        <w:lastRenderedPageBreak/>
        <w:t>Produkte mit einem Verfall unter 6 Monaten werden mit einem Kleber markiert, damit eine Abgabe/Anwendung in der Restlaufzeit erfolgt.</w:t>
      </w:r>
    </w:p>
    <w:p w14:paraId="4A2C3E49" w14:textId="77777777" w:rsidR="00106F8C" w:rsidRPr="00437E0F" w:rsidRDefault="00106F8C" w:rsidP="00106F8C">
      <w:pPr>
        <w:rPr>
          <w:lang w:eastAsia="de-DE"/>
        </w:rPr>
      </w:pPr>
    </w:p>
    <w:p w14:paraId="2F9E7EB4" w14:textId="27EAAB98" w:rsidR="00437E0F" w:rsidRPr="00437E0F" w:rsidRDefault="00437E0F" w:rsidP="00477FFB">
      <w:pPr>
        <w:pStyle w:val="KeinLeerraum"/>
        <w:rPr>
          <w:lang w:eastAsia="de-DE"/>
        </w:rPr>
      </w:pPr>
      <w:r w:rsidRPr="00477FFB">
        <w:rPr>
          <w:rStyle w:val="berschrift3Zchn"/>
        </w:rPr>
        <w:t>Beanstandungen</w:t>
      </w:r>
      <w:r w:rsidRPr="00437E0F">
        <w:rPr>
          <w:lang w:eastAsia="de-DE"/>
        </w:rPr>
        <w:br/>
        <w:t>Falsch gelieferte, falsch bestellte oder beanstandete Produkte werden an den Lieferanten retourniert.  Hierzu muss zwingend der Packschein verwend</w:t>
      </w:r>
      <w:r w:rsidR="00106F8C">
        <w:rPr>
          <w:lang w:eastAsia="de-DE"/>
        </w:rPr>
        <w:t>e</w:t>
      </w:r>
      <w:r w:rsidRPr="00437E0F">
        <w:rPr>
          <w:lang w:eastAsia="de-DE"/>
        </w:rPr>
        <w:t>t werden. Zu retournierende Produkte werden nicht einsortiert, sondern bis zur Retoure separat gelagert (Quarantäne).</w:t>
      </w:r>
      <w:r w:rsidRPr="00437E0F">
        <w:rPr>
          <w:lang w:eastAsia="de-DE"/>
        </w:rPr>
        <w:br/>
        <w:t xml:space="preserve">Bei Problemen wird die verantwortliche </w:t>
      </w:r>
      <w:r w:rsidR="00106F8C">
        <w:rPr>
          <w:lang w:eastAsia="de-DE"/>
        </w:rPr>
        <w:t>LMPA</w:t>
      </w:r>
      <w:r w:rsidRPr="00437E0F">
        <w:rPr>
          <w:lang w:eastAsia="de-DE"/>
        </w:rPr>
        <w:t xml:space="preserve"> informiert.</w:t>
      </w:r>
    </w:p>
    <w:p w14:paraId="5F66FC53" w14:textId="77777777" w:rsidR="00106F8C" w:rsidRDefault="00106F8C" w:rsidP="00477FFB">
      <w:pPr>
        <w:pStyle w:val="KeinLeerraum"/>
        <w:rPr>
          <w:lang w:eastAsia="de-DE"/>
        </w:rPr>
      </w:pPr>
    </w:p>
    <w:p w14:paraId="7B32424F" w14:textId="089F0B6B" w:rsidR="00477FFB" w:rsidRDefault="00477FFB" w:rsidP="00477FFB">
      <w:pPr>
        <w:pStyle w:val="KeinLeerraum"/>
        <w:jc w:val="center"/>
        <w:rPr>
          <w:lang w:eastAsia="de-DE"/>
        </w:rPr>
      </w:pPr>
      <w:r>
        <w:rPr>
          <w:lang w:eastAsia="de-DE"/>
        </w:rPr>
        <w:t>Kühlwaren können nicht retourniert werden!</w:t>
      </w:r>
    </w:p>
    <w:p w14:paraId="2CCC0D26" w14:textId="77777777" w:rsidR="00106F8C" w:rsidRDefault="00106F8C" w:rsidP="00106F8C">
      <w:pPr>
        <w:rPr>
          <w:lang w:eastAsia="de-DE"/>
        </w:rPr>
      </w:pPr>
    </w:p>
    <w:p w14:paraId="171E40E2" w14:textId="77777777" w:rsidR="00477FFB" w:rsidRPr="00477FFB" w:rsidRDefault="00477FFB" w:rsidP="00477FFB">
      <w:pPr>
        <w:pStyle w:val="KeinLeerraum"/>
      </w:pPr>
      <w:proofErr w:type="spellStart"/>
      <w:r w:rsidRPr="00477FFB">
        <w:rPr>
          <w:rStyle w:val="berschrift3Zchn"/>
        </w:rPr>
        <w:t>Magistralrezepturen</w:t>
      </w:r>
      <w:proofErr w:type="spellEnd"/>
      <w:r w:rsidRPr="00437E0F">
        <w:rPr>
          <w:lang w:eastAsia="de-DE"/>
        </w:rPr>
        <w:br/>
      </w:r>
      <w:r w:rsidRPr="00477FFB">
        <w:t xml:space="preserve">Arztpraxen dürfen </w:t>
      </w:r>
      <w:proofErr w:type="spellStart"/>
      <w:r w:rsidRPr="00477FFB">
        <w:t>Magistralrezepturen</w:t>
      </w:r>
      <w:proofErr w:type="spellEnd"/>
      <w:r w:rsidRPr="00477FFB">
        <w:t xml:space="preserve"> für die Abgabe an die Patienten nicht an Lager halten, sondern haben für diese ein Rezept auszustellen. Es muss der </w:t>
      </w:r>
      <w:hyperlink r:id="rId12" w:anchor="a9" w:tgtFrame="_blank" w:history="1">
        <w:r w:rsidRPr="00477FFB">
          <w:t>Art.9 a-f des Heilmittelgesetzes</w:t>
        </w:r>
      </w:hyperlink>
      <w:r w:rsidRPr="00477FFB">
        <w:t>beachtet werden.</w:t>
      </w:r>
      <w:r w:rsidRPr="00477FFB">
        <w:br/>
      </w:r>
      <w:proofErr w:type="spellStart"/>
      <w:r w:rsidRPr="00477FFB">
        <w:t>Magistralrezepturen</w:t>
      </w:r>
      <w:proofErr w:type="spellEnd"/>
      <w:r w:rsidRPr="00477FFB">
        <w:t xml:space="preserve"> dürfen jedoch für den Praxisgebrauch verwendet werden.</w:t>
      </w:r>
    </w:p>
    <w:p w14:paraId="38B51CCA" w14:textId="77777777" w:rsidR="00477FFB" w:rsidRPr="00437E0F" w:rsidRDefault="00477FFB" w:rsidP="00477FFB">
      <w:pPr>
        <w:rPr>
          <w:lang w:eastAsia="de-DE"/>
        </w:rPr>
      </w:pPr>
    </w:p>
    <w:p w14:paraId="2BF730CC" w14:textId="77777777" w:rsidR="00437E0F" w:rsidRDefault="00437E0F" w:rsidP="00477FFB">
      <w:pPr>
        <w:pStyle w:val="KeinLeerraum"/>
        <w:rPr>
          <w:lang w:eastAsia="de-DE"/>
        </w:rPr>
      </w:pPr>
      <w:r w:rsidRPr="00477FFB">
        <w:rPr>
          <w:rStyle w:val="berschrift3Zchn"/>
        </w:rPr>
        <w:t>Rechnungskontrolle</w:t>
      </w:r>
      <w:r w:rsidRPr="00437E0F">
        <w:rPr>
          <w:lang w:eastAsia="de-DE"/>
        </w:rPr>
        <w:br/>
      </w:r>
      <w:r w:rsidRPr="00477FFB">
        <w:t>Die kontrollierende Person überprüft die eingehenden Rechnungen mit den abgelegten Lieferscheinen auf ihre Übereinstimmung und Vollständigkeit. Ebenfalls kontrolliert sie, ob alle Retouren bzw. Gutschriften eingeschlossen sind. Ist die Rechnung korrekt, visiert sie diese und legt sie ab.</w:t>
      </w:r>
    </w:p>
    <w:p w14:paraId="7B2569D2" w14:textId="77777777" w:rsidR="00477FFB" w:rsidRPr="00477FFB" w:rsidRDefault="00477FFB" w:rsidP="00477FFB">
      <w:pPr>
        <w:pStyle w:val="KeinLeerraum"/>
      </w:pPr>
    </w:p>
    <w:p w14:paraId="4517BB21" w14:textId="77777777" w:rsidR="00437E0F" w:rsidRPr="00477FFB" w:rsidRDefault="00437E0F" w:rsidP="00477FFB">
      <w:pPr>
        <w:pStyle w:val="KeinLeerraum"/>
      </w:pPr>
      <w:r w:rsidRPr="00477FFB">
        <w:rPr>
          <w:rStyle w:val="berschrift3Zchn"/>
        </w:rPr>
        <w:t>Archivierung</w:t>
      </w:r>
      <w:r w:rsidRPr="00477FFB">
        <w:br/>
        <w:t>Gemäss kantonaler Heilmittelverordnung muss die Arztpraxis Unterlagen, welche die Rückverfolgbarkeit von Heilmitteln ermöglichen, 5, resp. 10 Jahre aufbewahren. Da die Rechnung zu wenig Informationen zur Rückverfolgbarkeit enthält, ist zusätzlich zur Rechnung die Wareneingangskontrolle (hier direkt der Lieferschein) mit Lieferschein zu archivieren.</w:t>
      </w:r>
    </w:p>
    <w:p w14:paraId="3A72C398" w14:textId="3C9275A3" w:rsidR="00437E0F" w:rsidRDefault="00437E0F" w:rsidP="00477FFB">
      <w:pPr>
        <w:pStyle w:val="KeinLeerraum"/>
      </w:pPr>
      <w:r w:rsidRPr="00477FFB">
        <w:t xml:space="preserve">Es gilt: Lieferscheine für Betäubungsmittel der Verzeichnisse </w:t>
      </w:r>
      <w:r w:rsidR="00477FFB">
        <w:t>A</w:t>
      </w:r>
      <w:r w:rsidRPr="00477FFB">
        <w:t xml:space="preserve"> und </w:t>
      </w:r>
      <w:r w:rsidR="00477FFB">
        <w:t>B</w:t>
      </w:r>
      <w:r w:rsidRPr="00477FFB">
        <w:t xml:space="preserve"> müssen 10 Jahre, alle anderen Medikamentenlieferscheine 5 Jahre aufbewahrt werden. </w:t>
      </w:r>
    </w:p>
    <w:p w14:paraId="335A96F4" w14:textId="77777777" w:rsidR="00477FFB" w:rsidRPr="00477FFB" w:rsidRDefault="00477FFB" w:rsidP="00477FFB">
      <w:pPr>
        <w:pStyle w:val="KeinLeerraum"/>
      </w:pPr>
    </w:p>
    <w:p w14:paraId="0AFD2978" w14:textId="77777777" w:rsidR="00437E0F" w:rsidRDefault="00437E0F" w:rsidP="00477FFB">
      <w:pPr>
        <w:pStyle w:val="KeinLeerraum"/>
        <w:jc w:val="center"/>
      </w:pPr>
      <w:r w:rsidRPr="00477FFB">
        <w:t>Gemäss Obligationenrecht </w:t>
      </w:r>
      <w:hyperlink r:id="rId13" w:anchor="a958f" w:tgtFrame="_blank" w:history="1">
        <w:r w:rsidRPr="00477FFB">
          <w:t>(OR Art. 958)</w:t>
        </w:r>
      </w:hyperlink>
      <w:r w:rsidRPr="00477FFB">
        <w:t> sind Rechnungen während 10 Jahren aufzubewahren.</w:t>
      </w:r>
    </w:p>
    <w:p w14:paraId="6E0FCCC1" w14:textId="77F4D8E6" w:rsidR="00477FFB" w:rsidRPr="00477FFB" w:rsidRDefault="00477FFB" w:rsidP="00477FFB">
      <w:pPr>
        <w:pStyle w:val="KeinLeerraum"/>
      </w:pPr>
    </w:p>
    <w:p w14:paraId="2D2C8FF3" w14:textId="45BEDAA6" w:rsidR="00437E0F" w:rsidRPr="00437E0F" w:rsidRDefault="00437E0F" w:rsidP="00437E0F">
      <w:pPr>
        <w:spacing w:after="360" w:line="240" w:lineRule="auto"/>
        <w:rPr>
          <w:rFonts w:ascii="Roboto" w:eastAsia="Times New Roman" w:hAnsi="Roboto" w:cs="Times New Roman"/>
          <w:color w:val="464646"/>
          <w:kern w:val="0"/>
          <w:sz w:val="21"/>
          <w:szCs w:val="21"/>
          <w:lang w:eastAsia="de-DE"/>
          <w14:ligatures w14:val="none"/>
        </w:rPr>
      </w:pPr>
      <w:r w:rsidRPr="00437E0F">
        <w:rPr>
          <w:rStyle w:val="berschrift2Zchn"/>
          <w:lang w:eastAsia="de-DE"/>
        </w:rPr>
        <w:t>Mitgeltende Dokumente/ Unterlagen</w:t>
      </w:r>
      <w:r w:rsidRPr="00437E0F">
        <w:rPr>
          <w:rFonts w:ascii="Roboto" w:eastAsia="Times New Roman" w:hAnsi="Roboto" w:cs="Times New Roman"/>
          <w:color w:val="464646"/>
          <w:kern w:val="0"/>
          <w:sz w:val="21"/>
          <w:szCs w:val="21"/>
          <w:lang w:eastAsia="de-DE"/>
          <w14:ligatures w14:val="none"/>
        </w:rPr>
        <w:br/>
        <w:t>-</w:t>
      </w:r>
    </w:p>
    <w:p w14:paraId="34D459C8" w14:textId="7283D3FF" w:rsidR="00EC053D" w:rsidRPr="00437E0F" w:rsidRDefault="00437E0F" w:rsidP="00437E0F">
      <w:pPr>
        <w:spacing w:line="240" w:lineRule="auto"/>
        <w:rPr>
          <w:rFonts w:ascii="Roboto" w:eastAsia="Times New Roman" w:hAnsi="Roboto" w:cs="Times New Roman"/>
          <w:color w:val="464646"/>
          <w:kern w:val="0"/>
          <w:sz w:val="21"/>
          <w:szCs w:val="21"/>
          <w:lang w:eastAsia="de-DE"/>
          <w14:ligatures w14:val="none"/>
        </w:rPr>
      </w:pPr>
      <w:r w:rsidRPr="00437E0F">
        <w:rPr>
          <w:rStyle w:val="berschrift2Zchn"/>
          <w:lang w:eastAsia="de-DE"/>
        </w:rPr>
        <w:t>Quelle</w:t>
      </w:r>
      <w:r w:rsidRPr="00437E0F">
        <w:rPr>
          <w:rFonts w:ascii="Roboto" w:eastAsia="Times New Roman" w:hAnsi="Roboto" w:cs="Times New Roman"/>
          <w:color w:val="464646"/>
          <w:kern w:val="0"/>
          <w:sz w:val="21"/>
          <w:szCs w:val="21"/>
          <w:lang w:eastAsia="de-DE"/>
          <w14:ligatures w14:val="none"/>
        </w:rPr>
        <w:br/>
        <w:t>Spirig HealthCare AG</w:t>
      </w:r>
    </w:p>
    <w:sectPr w:rsidR="00EC053D" w:rsidRPr="00437E0F">
      <w:headerReference w:type="default" r:id="rId14"/>
      <w:footerReference w:type="even"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B9A0C" w14:textId="77777777" w:rsidR="00D7335E" w:rsidRDefault="00D7335E" w:rsidP="00863204">
      <w:pPr>
        <w:spacing w:line="240" w:lineRule="auto"/>
      </w:pPr>
      <w:r>
        <w:separator/>
      </w:r>
    </w:p>
  </w:endnote>
  <w:endnote w:type="continuationSeparator" w:id="0">
    <w:p w14:paraId="5DD9A2B4" w14:textId="77777777" w:rsidR="00D7335E" w:rsidRDefault="00D7335E" w:rsidP="00863204">
      <w:pPr>
        <w:spacing w:line="240" w:lineRule="auto"/>
      </w:pPr>
      <w:r>
        <w:continuationSeparator/>
      </w:r>
    </w:p>
  </w:endnote>
  <w:endnote w:type="continuationNotice" w:id="1">
    <w:p w14:paraId="52325EA6" w14:textId="77777777" w:rsidR="00DE4BC9" w:rsidRDefault="00DE4B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57731438"/>
      <w:docPartObj>
        <w:docPartGallery w:val="Page Numbers (Bottom of Page)"/>
        <w:docPartUnique/>
      </w:docPartObj>
    </w:sdtPr>
    <w:sdtEndPr>
      <w:rPr>
        <w:rStyle w:val="Seitenzahl"/>
      </w:rPr>
    </w:sdtEndPr>
    <w:sdtContent>
      <w:p w14:paraId="363AC6E9" w14:textId="465ABFE8" w:rsidR="00863204" w:rsidRDefault="00863204" w:rsidP="0052135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9848A34" w14:textId="77777777" w:rsidR="00863204" w:rsidRDefault="00863204" w:rsidP="008632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9222" w14:textId="3D0EE869"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Dokument:</w:t>
    </w:r>
    <w:r w:rsidR="00F74889">
      <w:rPr>
        <w:rFonts w:asciiTheme="minorHAnsi" w:hAnsiTheme="minorHAnsi"/>
        <w:sz w:val="15"/>
        <w:szCs w:val="15"/>
      </w:rPr>
      <w:tab/>
    </w:r>
    <w:r w:rsidR="00450C2F">
      <w:rPr>
        <w:rFonts w:asciiTheme="minorHAnsi" w:hAnsiTheme="minorHAnsi"/>
        <w:sz w:val="15"/>
        <w:szCs w:val="15"/>
      </w:rPr>
      <w:t>Bestellwesen</w:t>
    </w:r>
    <w:r w:rsidRPr="00863204">
      <w:rPr>
        <w:rFonts w:asciiTheme="minorHAnsi" w:hAnsiTheme="minorHAnsi"/>
        <w:sz w:val="15"/>
        <w:szCs w:val="15"/>
      </w:rPr>
      <w:tab/>
    </w:r>
    <w:proofErr w:type="gramStart"/>
    <w:r w:rsidRPr="00863204">
      <w:rPr>
        <w:rFonts w:asciiTheme="minorHAnsi" w:hAnsiTheme="minorHAnsi"/>
        <w:sz w:val="15"/>
        <w:szCs w:val="15"/>
      </w:rPr>
      <w:t>Erstellt</w:t>
    </w:r>
    <w:proofErr w:type="gramEnd"/>
    <w:r w:rsidRPr="00863204">
      <w:rPr>
        <w:rFonts w:asciiTheme="minorHAnsi" w:hAnsiTheme="minorHAnsi"/>
        <w:sz w:val="15"/>
        <w:szCs w:val="15"/>
      </w:rPr>
      <w:t xml:space="preserve"> durch: </w:t>
    </w:r>
    <w:r w:rsidR="00F74889">
      <w:rPr>
        <w:rFonts w:asciiTheme="minorHAnsi" w:hAnsiTheme="minorHAnsi"/>
        <w:sz w:val="15"/>
        <w:szCs w:val="15"/>
      </w:rPr>
      <w:tab/>
    </w:r>
    <w:r w:rsidR="00214BEA">
      <w:rPr>
        <w:rFonts w:asciiTheme="minorHAnsi" w:hAnsiTheme="minorHAnsi"/>
        <w:sz w:val="15"/>
        <w:szCs w:val="15"/>
      </w:rPr>
      <w:t>Johannes Nürnberg</w:t>
    </w:r>
    <w:r w:rsidR="00F877DB">
      <w:rPr>
        <w:rFonts w:asciiTheme="minorHAnsi" w:hAnsiTheme="minorHAnsi"/>
        <w:sz w:val="15"/>
        <w:szCs w:val="15"/>
      </w:rPr>
      <w:t>/</w:t>
    </w:r>
    <w:r w:rsidR="00F74889">
      <w:rPr>
        <w:rFonts w:asciiTheme="minorHAnsi" w:hAnsiTheme="minorHAnsi"/>
        <w:sz w:val="15"/>
        <w:szCs w:val="15"/>
      </w:rPr>
      <w:t>Kim Balmer</w:t>
    </w:r>
  </w:p>
  <w:p w14:paraId="34999B3C" w14:textId="1471BB59"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Version:</w:t>
    </w:r>
    <w:r>
      <w:rPr>
        <w:rFonts w:asciiTheme="minorHAnsi" w:hAnsiTheme="minorHAnsi"/>
        <w:sz w:val="15"/>
        <w:szCs w:val="15"/>
      </w:rPr>
      <w:t xml:space="preserve"> </w:t>
    </w:r>
    <w:r w:rsidR="00F74889">
      <w:rPr>
        <w:rFonts w:asciiTheme="minorHAnsi" w:hAnsiTheme="minorHAnsi"/>
        <w:sz w:val="15"/>
        <w:szCs w:val="15"/>
      </w:rPr>
      <w:tab/>
    </w:r>
    <w:r w:rsidR="00450C2F">
      <w:rPr>
        <w:rFonts w:asciiTheme="minorHAnsi" w:hAnsiTheme="minorHAnsi"/>
        <w:sz w:val="15"/>
        <w:szCs w:val="15"/>
      </w:rPr>
      <w:t>1</w:t>
    </w:r>
    <w:r w:rsidRPr="00863204">
      <w:rPr>
        <w:rFonts w:asciiTheme="minorHAnsi" w:hAnsiTheme="minorHAnsi"/>
        <w:sz w:val="15"/>
        <w:szCs w:val="15"/>
      </w:rPr>
      <w:tab/>
      <w:t xml:space="preserve">Genehmigt von: </w:t>
    </w:r>
    <w:r w:rsidR="00F74889">
      <w:rPr>
        <w:rFonts w:asciiTheme="minorHAnsi" w:hAnsiTheme="minorHAnsi"/>
        <w:sz w:val="15"/>
        <w:szCs w:val="15"/>
      </w:rPr>
      <w:tab/>
    </w:r>
    <w:r>
      <w:rPr>
        <w:rFonts w:asciiTheme="minorHAnsi" w:hAnsiTheme="minorHAnsi"/>
        <w:sz w:val="15"/>
        <w:szCs w:val="15"/>
      </w:rPr>
      <w:t>Johannes Nürnberg</w:t>
    </w:r>
  </w:p>
  <w:p w14:paraId="0D1B9629" w14:textId="5AED27E3"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Datum:</w:t>
    </w:r>
    <w:r w:rsidR="00F74889">
      <w:rPr>
        <w:rFonts w:asciiTheme="minorHAnsi" w:hAnsiTheme="minorHAnsi"/>
        <w:sz w:val="15"/>
        <w:szCs w:val="15"/>
      </w:rPr>
      <w:t xml:space="preserve"> </w:t>
    </w:r>
    <w:r w:rsidR="00F74889">
      <w:rPr>
        <w:rFonts w:asciiTheme="minorHAnsi" w:hAnsiTheme="minorHAnsi"/>
        <w:sz w:val="15"/>
        <w:szCs w:val="15"/>
      </w:rPr>
      <w:tab/>
      <w:t>1</w:t>
    </w:r>
    <w:r w:rsidR="00450C2F">
      <w:rPr>
        <w:rFonts w:asciiTheme="minorHAnsi" w:hAnsiTheme="minorHAnsi"/>
        <w:sz w:val="15"/>
        <w:szCs w:val="15"/>
      </w:rPr>
      <w:t>8</w:t>
    </w:r>
    <w:r w:rsidR="00F74889">
      <w:rPr>
        <w:rFonts w:asciiTheme="minorHAnsi" w:hAnsiTheme="minorHAnsi"/>
        <w:sz w:val="15"/>
        <w:szCs w:val="15"/>
      </w:rPr>
      <w:t>.02.</w:t>
    </w:r>
    <w:r w:rsidR="00860C78">
      <w:rPr>
        <w:rFonts w:asciiTheme="minorHAnsi" w:hAnsiTheme="minorHAnsi"/>
        <w:sz w:val="15"/>
        <w:szCs w:val="15"/>
      </w:rPr>
      <w:t>20</w:t>
    </w:r>
    <w:r w:rsidR="00F74889">
      <w:rPr>
        <w:rFonts w:asciiTheme="minorHAnsi" w:hAnsiTheme="minorHAnsi"/>
        <w:sz w:val="15"/>
        <w:szCs w:val="15"/>
      </w:rPr>
      <w:t>25</w:t>
    </w:r>
    <w:r w:rsidRPr="00863204">
      <w:rPr>
        <w:rFonts w:asciiTheme="minorHAnsi" w:hAnsiTheme="minorHAnsi"/>
        <w:sz w:val="15"/>
        <w:szCs w:val="15"/>
      </w:rPr>
      <w:tab/>
      <w:t>Seite:</w:t>
    </w:r>
    <w:r w:rsidR="00F74889">
      <w:rPr>
        <w:rFonts w:asciiTheme="minorHAnsi" w:hAnsiTheme="minorHAnsi"/>
        <w:sz w:val="15"/>
        <w:szCs w:val="15"/>
      </w:rPr>
      <w:tab/>
    </w:r>
    <w:r w:rsidR="004A4B78" w:rsidRPr="004A4B78">
      <w:rPr>
        <w:rFonts w:asciiTheme="minorHAnsi" w:hAnsiTheme="minorHAnsi"/>
        <w:sz w:val="15"/>
        <w:szCs w:val="15"/>
        <w:lang w:val="de-DE"/>
      </w:rPr>
      <w:t xml:space="preserve">Seite </w:t>
    </w:r>
    <w:r w:rsidR="004A4B78" w:rsidRPr="004A4B78">
      <w:rPr>
        <w:rFonts w:asciiTheme="minorHAnsi" w:hAnsiTheme="minorHAnsi"/>
        <w:b/>
        <w:bCs/>
        <w:sz w:val="15"/>
        <w:szCs w:val="15"/>
      </w:rPr>
      <w:fldChar w:fldCharType="begin"/>
    </w:r>
    <w:r w:rsidR="004A4B78" w:rsidRPr="004A4B78">
      <w:rPr>
        <w:rFonts w:asciiTheme="minorHAnsi" w:hAnsiTheme="minorHAnsi"/>
        <w:b/>
        <w:bCs/>
        <w:sz w:val="15"/>
        <w:szCs w:val="15"/>
      </w:rPr>
      <w:instrText>PAGE  \* Arabic  \* MERGEFORMAT</w:instrText>
    </w:r>
    <w:r w:rsidR="004A4B78" w:rsidRPr="004A4B78">
      <w:rPr>
        <w:rFonts w:asciiTheme="minorHAnsi" w:hAnsiTheme="minorHAnsi"/>
        <w:b/>
        <w:bCs/>
        <w:sz w:val="15"/>
        <w:szCs w:val="15"/>
      </w:rPr>
      <w:fldChar w:fldCharType="separate"/>
    </w:r>
    <w:r w:rsidR="004A4B78" w:rsidRPr="004A4B78">
      <w:rPr>
        <w:rFonts w:asciiTheme="minorHAnsi" w:hAnsiTheme="minorHAnsi"/>
        <w:b/>
        <w:bCs/>
        <w:sz w:val="15"/>
        <w:szCs w:val="15"/>
        <w:lang w:val="de-DE"/>
      </w:rPr>
      <w:t>1</w:t>
    </w:r>
    <w:r w:rsidR="004A4B78" w:rsidRPr="004A4B78">
      <w:rPr>
        <w:rFonts w:asciiTheme="minorHAnsi" w:hAnsiTheme="minorHAnsi"/>
        <w:b/>
        <w:bCs/>
        <w:sz w:val="15"/>
        <w:szCs w:val="15"/>
      </w:rPr>
      <w:fldChar w:fldCharType="end"/>
    </w:r>
    <w:r w:rsidR="004A4B78" w:rsidRPr="004A4B78">
      <w:rPr>
        <w:rFonts w:asciiTheme="minorHAnsi" w:hAnsiTheme="minorHAnsi"/>
        <w:sz w:val="15"/>
        <w:szCs w:val="15"/>
        <w:lang w:val="de-DE"/>
      </w:rPr>
      <w:t xml:space="preserve"> von </w:t>
    </w:r>
    <w:r w:rsidR="004A4B78" w:rsidRPr="004A4B78">
      <w:rPr>
        <w:rFonts w:asciiTheme="minorHAnsi" w:hAnsiTheme="minorHAnsi"/>
        <w:b/>
        <w:bCs/>
        <w:sz w:val="15"/>
        <w:szCs w:val="15"/>
      </w:rPr>
      <w:fldChar w:fldCharType="begin"/>
    </w:r>
    <w:r w:rsidR="004A4B78" w:rsidRPr="004A4B78">
      <w:rPr>
        <w:rFonts w:asciiTheme="minorHAnsi" w:hAnsiTheme="minorHAnsi"/>
        <w:b/>
        <w:bCs/>
        <w:sz w:val="15"/>
        <w:szCs w:val="15"/>
      </w:rPr>
      <w:instrText>NUMPAGES  \* Arabic  \* MERGEFORMAT</w:instrText>
    </w:r>
    <w:r w:rsidR="004A4B78" w:rsidRPr="004A4B78">
      <w:rPr>
        <w:rFonts w:asciiTheme="minorHAnsi" w:hAnsiTheme="minorHAnsi"/>
        <w:b/>
        <w:bCs/>
        <w:sz w:val="15"/>
        <w:szCs w:val="15"/>
      </w:rPr>
      <w:fldChar w:fldCharType="separate"/>
    </w:r>
    <w:r w:rsidR="004A4B78" w:rsidRPr="004A4B78">
      <w:rPr>
        <w:rFonts w:asciiTheme="minorHAnsi" w:hAnsiTheme="minorHAnsi"/>
        <w:b/>
        <w:bCs/>
        <w:sz w:val="15"/>
        <w:szCs w:val="15"/>
        <w:lang w:val="de-DE"/>
      </w:rPr>
      <w:t>2</w:t>
    </w:r>
    <w:r w:rsidR="004A4B78" w:rsidRPr="004A4B78">
      <w:rPr>
        <w:rFonts w:asciiTheme="minorHAnsi" w:hAnsiTheme="minorHAnsi"/>
        <w:b/>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31A33" w14:textId="77777777" w:rsidR="00D7335E" w:rsidRDefault="00D7335E" w:rsidP="00863204">
      <w:pPr>
        <w:spacing w:line="240" w:lineRule="auto"/>
      </w:pPr>
      <w:r>
        <w:separator/>
      </w:r>
    </w:p>
  </w:footnote>
  <w:footnote w:type="continuationSeparator" w:id="0">
    <w:p w14:paraId="669616DE" w14:textId="77777777" w:rsidR="00D7335E" w:rsidRDefault="00D7335E" w:rsidP="00863204">
      <w:pPr>
        <w:spacing w:line="240" w:lineRule="auto"/>
      </w:pPr>
      <w:r>
        <w:continuationSeparator/>
      </w:r>
    </w:p>
  </w:footnote>
  <w:footnote w:type="continuationNotice" w:id="1">
    <w:p w14:paraId="5D988586" w14:textId="77777777" w:rsidR="00DE4BC9" w:rsidRDefault="00DE4B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DA7C" w14:textId="689FC4EF" w:rsidR="00863204" w:rsidRDefault="00863204">
    <w:pPr>
      <w:pStyle w:val="Kopfzeile"/>
    </w:pPr>
    <w:r>
      <w:rPr>
        <w:noProof/>
      </w:rPr>
      <w:drawing>
        <wp:anchor distT="0" distB="0" distL="114300" distR="114300" simplePos="0" relativeHeight="251658240" behindDoc="0" locked="0" layoutInCell="1" allowOverlap="1" wp14:anchorId="5452EACD" wp14:editId="7501E65D">
          <wp:simplePos x="0" y="0"/>
          <wp:positionH relativeFrom="column">
            <wp:posOffset>5306432</wp:posOffset>
          </wp:positionH>
          <wp:positionV relativeFrom="paragraph">
            <wp:posOffset>-78105</wp:posOffset>
          </wp:positionV>
          <wp:extent cx="402590" cy="262890"/>
          <wp:effectExtent l="0" t="0" r="3810" b="3810"/>
          <wp:wrapThrough wrapText="bothSides">
            <wp:wrapPolygon edited="0">
              <wp:start x="4088" y="0"/>
              <wp:lineTo x="0" y="1043"/>
              <wp:lineTo x="0" y="9391"/>
              <wp:lineTo x="4088" y="16696"/>
              <wp:lineTo x="4088" y="20870"/>
              <wp:lineTo x="21123" y="20870"/>
              <wp:lineTo x="21123" y="2087"/>
              <wp:lineTo x="8858" y="0"/>
              <wp:lineTo x="4088" y="0"/>
            </wp:wrapPolygon>
          </wp:wrapThrough>
          <wp:docPr id="472795899" name="Grafik 1" descr="Das neue Schweizer Praxismodell für Selbstständ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neue Schweizer Praxismodell für Selbstständi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262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29BCA"/>
    <w:multiLevelType w:val="hybridMultilevel"/>
    <w:tmpl w:val="142414FC"/>
    <w:lvl w:ilvl="0" w:tplc="6A720AEA">
      <w:start w:val="1"/>
      <w:numFmt w:val="decimal"/>
      <w:lvlText w:val="%1."/>
      <w:lvlJc w:val="left"/>
      <w:pPr>
        <w:ind w:left="360" w:hanging="360"/>
      </w:pPr>
    </w:lvl>
    <w:lvl w:ilvl="1" w:tplc="190422EC">
      <w:start w:val="1"/>
      <w:numFmt w:val="lowerLetter"/>
      <w:lvlText w:val="%2."/>
      <w:lvlJc w:val="left"/>
      <w:pPr>
        <w:ind w:left="1080" w:hanging="360"/>
      </w:pPr>
    </w:lvl>
    <w:lvl w:ilvl="2" w:tplc="0D061B86">
      <w:start w:val="1"/>
      <w:numFmt w:val="lowerRoman"/>
      <w:lvlText w:val="%3."/>
      <w:lvlJc w:val="right"/>
      <w:pPr>
        <w:ind w:left="1800" w:hanging="180"/>
      </w:pPr>
    </w:lvl>
    <w:lvl w:ilvl="3" w:tplc="4888E6CC">
      <w:start w:val="1"/>
      <w:numFmt w:val="decimal"/>
      <w:lvlText w:val="%4."/>
      <w:lvlJc w:val="left"/>
      <w:pPr>
        <w:ind w:left="2520" w:hanging="360"/>
      </w:pPr>
    </w:lvl>
    <w:lvl w:ilvl="4" w:tplc="E5E4031A">
      <w:start w:val="1"/>
      <w:numFmt w:val="lowerLetter"/>
      <w:lvlText w:val="%5."/>
      <w:lvlJc w:val="left"/>
      <w:pPr>
        <w:ind w:left="3240" w:hanging="360"/>
      </w:pPr>
    </w:lvl>
    <w:lvl w:ilvl="5" w:tplc="5BC6243E">
      <w:start w:val="1"/>
      <w:numFmt w:val="lowerRoman"/>
      <w:lvlText w:val="%6."/>
      <w:lvlJc w:val="right"/>
      <w:pPr>
        <w:ind w:left="3960" w:hanging="180"/>
      </w:pPr>
    </w:lvl>
    <w:lvl w:ilvl="6" w:tplc="C538A19A">
      <w:start w:val="1"/>
      <w:numFmt w:val="decimal"/>
      <w:lvlText w:val="%7."/>
      <w:lvlJc w:val="left"/>
      <w:pPr>
        <w:ind w:left="4680" w:hanging="360"/>
      </w:pPr>
    </w:lvl>
    <w:lvl w:ilvl="7" w:tplc="3FFC0CB6">
      <w:start w:val="1"/>
      <w:numFmt w:val="lowerLetter"/>
      <w:lvlText w:val="%8."/>
      <w:lvlJc w:val="left"/>
      <w:pPr>
        <w:ind w:left="5400" w:hanging="360"/>
      </w:pPr>
    </w:lvl>
    <w:lvl w:ilvl="8" w:tplc="EB5480C0">
      <w:start w:val="1"/>
      <w:numFmt w:val="lowerRoman"/>
      <w:lvlText w:val="%9."/>
      <w:lvlJc w:val="right"/>
      <w:pPr>
        <w:ind w:left="6120" w:hanging="180"/>
      </w:pPr>
    </w:lvl>
  </w:abstractNum>
  <w:abstractNum w:abstractNumId="1" w15:restartNumberingAfterBreak="0">
    <w:nsid w:val="179D0E9D"/>
    <w:multiLevelType w:val="hybridMultilevel"/>
    <w:tmpl w:val="BB48415E"/>
    <w:lvl w:ilvl="0" w:tplc="7D94FC68">
      <w:start w:val="1"/>
      <w:numFmt w:val="bullet"/>
      <w:lvlText w:val="-"/>
      <w:lvlJc w:val="left"/>
      <w:pPr>
        <w:ind w:left="360" w:hanging="360"/>
      </w:pPr>
      <w:rPr>
        <w:rFonts w:ascii="Aptos" w:eastAsiaTheme="minorHAnsi" w:hAnsi="Aptos"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E784665"/>
    <w:multiLevelType w:val="hybridMultilevel"/>
    <w:tmpl w:val="1F86B1A2"/>
    <w:lvl w:ilvl="0" w:tplc="9606DA88">
      <w:start w:val="1"/>
      <w:numFmt w:val="bullet"/>
      <w:lvlText w:val="-"/>
      <w:lvlJc w:val="left"/>
      <w:pPr>
        <w:ind w:left="360" w:hanging="360"/>
      </w:pPr>
      <w:rPr>
        <w:rFonts w:ascii="Aptos" w:eastAsiaTheme="minorHAnsi" w:hAnsi="Aptos"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0D494BF"/>
    <w:multiLevelType w:val="hybridMultilevel"/>
    <w:tmpl w:val="C12C35BC"/>
    <w:lvl w:ilvl="0" w:tplc="BC24675E">
      <w:start w:val="1"/>
      <w:numFmt w:val="bullet"/>
      <w:lvlText w:val=""/>
      <w:lvlJc w:val="left"/>
      <w:pPr>
        <w:ind w:left="720" w:hanging="360"/>
      </w:pPr>
      <w:rPr>
        <w:rFonts w:ascii="Symbol" w:hAnsi="Symbol" w:hint="default"/>
      </w:rPr>
    </w:lvl>
    <w:lvl w:ilvl="1" w:tplc="E758CFA0">
      <w:start w:val="1"/>
      <w:numFmt w:val="bullet"/>
      <w:lvlText w:val="o"/>
      <w:lvlJc w:val="left"/>
      <w:pPr>
        <w:ind w:left="1440" w:hanging="360"/>
      </w:pPr>
      <w:rPr>
        <w:rFonts w:ascii="Courier New" w:hAnsi="Courier New" w:hint="default"/>
      </w:rPr>
    </w:lvl>
    <w:lvl w:ilvl="2" w:tplc="CFACB7C8">
      <w:start w:val="1"/>
      <w:numFmt w:val="bullet"/>
      <w:lvlText w:val=""/>
      <w:lvlJc w:val="left"/>
      <w:pPr>
        <w:ind w:left="2160" w:hanging="360"/>
      </w:pPr>
      <w:rPr>
        <w:rFonts w:ascii="Wingdings" w:hAnsi="Wingdings" w:hint="default"/>
      </w:rPr>
    </w:lvl>
    <w:lvl w:ilvl="3" w:tplc="1D72166A">
      <w:start w:val="1"/>
      <w:numFmt w:val="bullet"/>
      <w:lvlText w:val=""/>
      <w:lvlJc w:val="left"/>
      <w:pPr>
        <w:ind w:left="2880" w:hanging="360"/>
      </w:pPr>
      <w:rPr>
        <w:rFonts w:ascii="Symbol" w:hAnsi="Symbol" w:hint="default"/>
      </w:rPr>
    </w:lvl>
    <w:lvl w:ilvl="4" w:tplc="572E16D6">
      <w:start w:val="1"/>
      <w:numFmt w:val="bullet"/>
      <w:lvlText w:val="o"/>
      <w:lvlJc w:val="left"/>
      <w:pPr>
        <w:ind w:left="3600" w:hanging="360"/>
      </w:pPr>
      <w:rPr>
        <w:rFonts w:ascii="Courier New" w:hAnsi="Courier New" w:hint="default"/>
      </w:rPr>
    </w:lvl>
    <w:lvl w:ilvl="5" w:tplc="989C2DE8">
      <w:start w:val="1"/>
      <w:numFmt w:val="bullet"/>
      <w:lvlText w:val=""/>
      <w:lvlJc w:val="left"/>
      <w:pPr>
        <w:ind w:left="4320" w:hanging="360"/>
      </w:pPr>
      <w:rPr>
        <w:rFonts w:ascii="Wingdings" w:hAnsi="Wingdings" w:hint="default"/>
      </w:rPr>
    </w:lvl>
    <w:lvl w:ilvl="6" w:tplc="A246C874">
      <w:start w:val="1"/>
      <w:numFmt w:val="bullet"/>
      <w:lvlText w:val=""/>
      <w:lvlJc w:val="left"/>
      <w:pPr>
        <w:ind w:left="5040" w:hanging="360"/>
      </w:pPr>
      <w:rPr>
        <w:rFonts w:ascii="Symbol" w:hAnsi="Symbol" w:hint="default"/>
      </w:rPr>
    </w:lvl>
    <w:lvl w:ilvl="7" w:tplc="C1A0B65E">
      <w:start w:val="1"/>
      <w:numFmt w:val="bullet"/>
      <w:lvlText w:val="o"/>
      <w:lvlJc w:val="left"/>
      <w:pPr>
        <w:ind w:left="5760" w:hanging="360"/>
      </w:pPr>
      <w:rPr>
        <w:rFonts w:ascii="Courier New" w:hAnsi="Courier New" w:hint="default"/>
      </w:rPr>
    </w:lvl>
    <w:lvl w:ilvl="8" w:tplc="CD269FAA">
      <w:start w:val="1"/>
      <w:numFmt w:val="bullet"/>
      <w:lvlText w:val=""/>
      <w:lvlJc w:val="left"/>
      <w:pPr>
        <w:ind w:left="6480" w:hanging="360"/>
      </w:pPr>
      <w:rPr>
        <w:rFonts w:ascii="Wingdings" w:hAnsi="Wingdings" w:hint="default"/>
      </w:rPr>
    </w:lvl>
  </w:abstractNum>
  <w:abstractNum w:abstractNumId="4" w15:restartNumberingAfterBreak="0">
    <w:nsid w:val="76A9993E"/>
    <w:multiLevelType w:val="hybridMultilevel"/>
    <w:tmpl w:val="A5AA107E"/>
    <w:lvl w:ilvl="0" w:tplc="35D44E50">
      <w:start w:val="1"/>
      <w:numFmt w:val="bullet"/>
      <w:lvlText w:val=""/>
      <w:lvlJc w:val="left"/>
      <w:pPr>
        <w:ind w:left="720" w:hanging="360"/>
      </w:pPr>
      <w:rPr>
        <w:rFonts w:ascii="Symbol" w:hAnsi="Symbol" w:hint="default"/>
      </w:rPr>
    </w:lvl>
    <w:lvl w:ilvl="1" w:tplc="AD644B16">
      <w:start w:val="1"/>
      <w:numFmt w:val="bullet"/>
      <w:lvlText w:val="o"/>
      <w:lvlJc w:val="left"/>
      <w:pPr>
        <w:ind w:left="1440" w:hanging="360"/>
      </w:pPr>
      <w:rPr>
        <w:rFonts w:ascii="Courier New" w:hAnsi="Courier New" w:hint="default"/>
      </w:rPr>
    </w:lvl>
    <w:lvl w:ilvl="2" w:tplc="F9E69992">
      <w:start w:val="1"/>
      <w:numFmt w:val="bullet"/>
      <w:lvlText w:val=""/>
      <w:lvlJc w:val="left"/>
      <w:pPr>
        <w:ind w:left="2160" w:hanging="360"/>
      </w:pPr>
      <w:rPr>
        <w:rFonts w:ascii="Wingdings" w:hAnsi="Wingdings" w:hint="default"/>
      </w:rPr>
    </w:lvl>
    <w:lvl w:ilvl="3" w:tplc="F6FE3860">
      <w:start w:val="1"/>
      <w:numFmt w:val="bullet"/>
      <w:lvlText w:val=""/>
      <w:lvlJc w:val="left"/>
      <w:pPr>
        <w:ind w:left="2880" w:hanging="360"/>
      </w:pPr>
      <w:rPr>
        <w:rFonts w:ascii="Symbol" w:hAnsi="Symbol" w:hint="default"/>
      </w:rPr>
    </w:lvl>
    <w:lvl w:ilvl="4" w:tplc="3F68E606">
      <w:start w:val="1"/>
      <w:numFmt w:val="bullet"/>
      <w:lvlText w:val="o"/>
      <w:lvlJc w:val="left"/>
      <w:pPr>
        <w:ind w:left="3600" w:hanging="360"/>
      </w:pPr>
      <w:rPr>
        <w:rFonts w:ascii="Courier New" w:hAnsi="Courier New" w:hint="default"/>
      </w:rPr>
    </w:lvl>
    <w:lvl w:ilvl="5" w:tplc="FF1438AC">
      <w:start w:val="1"/>
      <w:numFmt w:val="bullet"/>
      <w:lvlText w:val=""/>
      <w:lvlJc w:val="left"/>
      <w:pPr>
        <w:ind w:left="4320" w:hanging="360"/>
      </w:pPr>
      <w:rPr>
        <w:rFonts w:ascii="Wingdings" w:hAnsi="Wingdings" w:hint="default"/>
      </w:rPr>
    </w:lvl>
    <w:lvl w:ilvl="6" w:tplc="67442616">
      <w:start w:val="1"/>
      <w:numFmt w:val="bullet"/>
      <w:lvlText w:val=""/>
      <w:lvlJc w:val="left"/>
      <w:pPr>
        <w:ind w:left="5040" w:hanging="360"/>
      </w:pPr>
      <w:rPr>
        <w:rFonts w:ascii="Symbol" w:hAnsi="Symbol" w:hint="default"/>
      </w:rPr>
    </w:lvl>
    <w:lvl w:ilvl="7" w:tplc="7F0C6A0C">
      <w:start w:val="1"/>
      <w:numFmt w:val="bullet"/>
      <w:lvlText w:val="o"/>
      <w:lvlJc w:val="left"/>
      <w:pPr>
        <w:ind w:left="5760" w:hanging="360"/>
      </w:pPr>
      <w:rPr>
        <w:rFonts w:ascii="Courier New" w:hAnsi="Courier New" w:hint="default"/>
      </w:rPr>
    </w:lvl>
    <w:lvl w:ilvl="8" w:tplc="EB1A0D88">
      <w:start w:val="1"/>
      <w:numFmt w:val="bullet"/>
      <w:lvlText w:val=""/>
      <w:lvlJc w:val="left"/>
      <w:pPr>
        <w:ind w:left="6480" w:hanging="360"/>
      </w:pPr>
      <w:rPr>
        <w:rFonts w:ascii="Wingdings" w:hAnsi="Wingdings" w:hint="default"/>
      </w:rPr>
    </w:lvl>
  </w:abstractNum>
  <w:num w:numId="1" w16cid:durableId="706375340">
    <w:abstractNumId w:val="3"/>
  </w:num>
  <w:num w:numId="2" w16cid:durableId="1339385068">
    <w:abstractNumId w:val="4"/>
  </w:num>
  <w:num w:numId="3" w16cid:durableId="1533300162">
    <w:abstractNumId w:val="2"/>
  </w:num>
  <w:num w:numId="4" w16cid:durableId="1258513789">
    <w:abstractNumId w:val="1"/>
  </w:num>
  <w:num w:numId="5" w16cid:durableId="43859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04"/>
    <w:rsid w:val="00006430"/>
    <w:rsid w:val="00011A0B"/>
    <w:rsid w:val="000158D2"/>
    <w:rsid w:val="0005182D"/>
    <w:rsid w:val="000878D1"/>
    <w:rsid w:val="000B359C"/>
    <w:rsid w:val="000D0A7A"/>
    <w:rsid w:val="00106F8C"/>
    <w:rsid w:val="00125832"/>
    <w:rsid w:val="001744E3"/>
    <w:rsid w:val="00214BEA"/>
    <w:rsid w:val="00286236"/>
    <w:rsid w:val="002B271C"/>
    <w:rsid w:val="002C13AB"/>
    <w:rsid w:val="002C3AC8"/>
    <w:rsid w:val="0031237A"/>
    <w:rsid w:val="00315D24"/>
    <w:rsid w:val="00346CB6"/>
    <w:rsid w:val="00363A58"/>
    <w:rsid w:val="0037049C"/>
    <w:rsid w:val="00387FC2"/>
    <w:rsid w:val="00392A35"/>
    <w:rsid w:val="003E4277"/>
    <w:rsid w:val="00415DAF"/>
    <w:rsid w:val="00437E0F"/>
    <w:rsid w:val="00440934"/>
    <w:rsid w:val="00450C2F"/>
    <w:rsid w:val="004517BF"/>
    <w:rsid w:val="00454550"/>
    <w:rsid w:val="004572F1"/>
    <w:rsid w:val="00457D6A"/>
    <w:rsid w:val="00466007"/>
    <w:rsid w:val="00477FFB"/>
    <w:rsid w:val="004A4B78"/>
    <w:rsid w:val="004A4DA0"/>
    <w:rsid w:val="004D6075"/>
    <w:rsid w:val="00591390"/>
    <w:rsid w:val="005C28BF"/>
    <w:rsid w:val="0065110D"/>
    <w:rsid w:val="00691895"/>
    <w:rsid w:val="006967E2"/>
    <w:rsid w:val="006B0457"/>
    <w:rsid w:val="007403BB"/>
    <w:rsid w:val="00774903"/>
    <w:rsid w:val="00780490"/>
    <w:rsid w:val="007C42C8"/>
    <w:rsid w:val="007D7F18"/>
    <w:rsid w:val="007F4577"/>
    <w:rsid w:val="00802ABF"/>
    <w:rsid w:val="0081463E"/>
    <w:rsid w:val="00816B49"/>
    <w:rsid w:val="00842E37"/>
    <w:rsid w:val="00846A4C"/>
    <w:rsid w:val="00860C78"/>
    <w:rsid w:val="00863204"/>
    <w:rsid w:val="00873218"/>
    <w:rsid w:val="00895870"/>
    <w:rsid w:val="00897F9D"/>
    <w:rsid w:val="00912A51"/>
    <w:rsid w:val="009942BD"/>
    <w:rsid w:val="009F2340"/>
    <w:rsid w:val="00A64472"/>
    <w:rsid w:val="00A7258C"/>
    <w:rsid w:val="00AA296C"/>
    <w:rsid w:val="00AA6036"/>
    <w:rsid w:val="00AD416C"/>
    <w:rsid w:val="00AF4E4D"/>
    <w:rsid w:val="00AF5762"/>
    <w:rsid w:val="00B0146B"/>
    <w:rsid w:val="00B07365"/>
    <w:rsid w:val="00B14EC3"/>
    <w:rsid w:val="00B41999"/>
    <w:rsid w:val="00B9557E"/>
    <w:rsid w:val="00C03204"/>
    <w:rsid w:val="00C131A0"/>
    <w:rsid w:val="00C26302"/>
    <w:rsid w:val="00C4609D"/>
    <w:rsid w:val="00C53D20"/>
    <w:rsid w:val="00C710C0"/>
    <w:rsid w:val="00C80D15"/>
    <w:rsid w:val="00CA4F0B"/>
    <w:rsid w:val="00CB3E43"/>
    <w:rsid w:val="00D03A79"/>
    <w:rsid w:val="00D7335E"/>
    <w:rsid w:val="00DB18A7"/>
    <w:rsid w:val="00DB4A1B"/>
    <w:rsid w:val="00DC7AEB"/>
    <w:rsid w:val="00DE4BC9"/>
    <w:rsid w:val="00DE60A3"/>
    <w:rsid w:val="00E077F6"/>
    <w:rsid w:val="00E50C86"/>
    <w:rsid w:val="00EC053D"/>
    <w:rsid w:val="00EE5181"/>
    <w:rsid w:val="00F200CC"/>
    <w:rsid w:val="00F424FF"/>
    <w:rsid w:val="00F62CFA"/>
    <w:rsid w:val="00F74889"/>
    <w:rsid w:val="00F77798"/>
    <w:rsid w:val="00F877DB"/>
    <w:rsid w:val="00F947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1194"/>
  <w15:chartTrackingRefBased/>
  <w15:docId w15:val="{488DF7BA-9E04-BC46-9ECC-3E36FFAD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7FFB"/>
    <w:pPr>
      <w:spacing w:after="0"/>
    </w:pPr>
  </w:style>
  <w:style w:type="paragraph" w:styleId="berschrift1">
    <w:name w:val="heading 1"/>
    <w:basedOn w:val="Standard"/>
    <w:next w:val="Standard"/>
    <w:link w:val="berschrift1Zchn"/>
    <w:uiPriority w:val="9"/>
    <w:qFormat/>
    <w:rsid w:val="00863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863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86320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86320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320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320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320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320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320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32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632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86320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86320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320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320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320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320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3204"/>
    <w:rPr>
      <w:rFonts w:eastAsiaTheme="majorEastAsia" w:cstheme="majorBidi"/>
      <w:color w:val="272727" w:themeColor="text1" w:themeTint="D8"/>
    </w:rPr>
  </w:style>
  <w:style w:type="paragraph" w:styleId="Titel">
    <w:name w:val="Title"/>
    <w:basedOn w:val="Standard"/>
    <w:next w:val="Standard"/>
    <w:link w:val="TitelZchn"/>
    <w:uiPriority w:val="10"/>
    <w:qFormat/>
    <w:rsid w:val="00863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32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320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320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320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3204"/>
    <w:rPr>
      <w:i/>
      <w:iCs/>
      <w:color w:val="404040" w:themeColor="text1" w:themeTint="BF"/>
    </w:rPr>
  </w:style>
  <w:style w:type="paragraph" w:styleId="Listenabsatz">
    <w:name w:val="List Paragraph"/>
    <w:basedOn w:val="Standard"/>
    <w:uiPriority w:val="34"/>
    <w:qFormat/>
    <w:rsid w:val="00863204"/>
    <w:pPr>
      <w:ind w:left="720"/>
      <w:contextualSpacing/>
    </w:pPr>
  </w:style>
  <w:style w:type="character" w:styleId="IntensiveHervorhebung">
    <w:name w:val="Intense Emphasis"/>
    <w:basedOn w:val="Absatz-Standardschriftart"/>
    <w:uiPriority w:val="21"/>
    <w:qFormat/>
    <w:rsid w:val="00863204"/>
    <w:rPr>
      <w:i/>
      <w:iCs/>
      <w:color w:val="0F4761" w:themeColor="accent1" w:themeShade="BF"/>
    </w:rPr>
  </w:style>
  <w:style w:type="paragraph" w:styleId="IntensivesZitat">
    <w:name w:val="Intense Quote"/>
    <w:basedOn w:val="Standard"/>
    <w:next w:val="Standard"/>
    <w:link w:val="IntensivesZitatZchn"/>
    <w:uiPriority w:val="30"/>
    <w:qFormat/>
    <w:rsid w:val="00863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3204"/>
    <w:rPr>
      <w:i/>
      <w:iCs/>
      <w:color w:val="0F4761" w:themeColor="accent1" w:themeShade="BF"/>
    </w:rPr>
  </w:style>
  <w:style w:type="character" w:styleId="IntensiverVerweis">
    <w:name w:val="Intense Reference"/>
    <w:basedOn w:val="Absatz-Standardschriftart"/>
    <w:uiPriority w:val="32"/>
    <w:qFormat/>
    <w:rsid w:val="00863204"/>
    <w:rPr>
      <w:b/>
      <w:bCs/>
      <w:smallCaps/>
      <w:color w:val="0F4761" w:themeColor="accent1" w:themeShade="BF"/>
      <w:spacing w:val="5"/>
    </w:rPr>
  </w:style>
  <w:style w:type="paragraph" w:styleId="Kopfzeile">
    <w:name w:val="header"/>
    <w:basedOn w:val="Standard"/>
    <w:link w:val="KopfzeileZchn"/>
    <w:uiPriority w:val="99"/>
    <w:unhideWhenUsed/>
    <w:rsid w:val="0086320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63204"/>
  </w:style>
  <w:style w:type="paragraph" w:styleId="Fuzeile">
    <w:name w:val="footer"/>
    <w:basedOn w:val="Standard"/>
    <w:link w:val="FuzeileZchn"/>
    <w:uiPriority w:val="99"/>
    <w:unhideWhenUsed/>
    <w:rsid w:val="0086320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63204"/>
  </w:style>
  <w:style w:type="character" w:styleId="Seitenzahl">
    <w:name w:val="page number"/>
    <w:basedOn w:val="Absatz-Standardschriftart"/>
    <w:uiPriority w:val="99"/>
    <w:semiHidden/>
    <w:unhideWhenUsed/>
    <w:rsid w:val="00863204"/>
  </w:style>
  <w:style w:type="paragraph" w:customStyle="1" w:styleId="paragraph">
    <w:name w:val="paragraph"/>
    <w:basedOn w:val="Standard"/>
    <w:rsid w:val="00863204"/>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contentcontrolboundarysink">
    <w:name w:val="contentcontrolboundarysink"/>
    <w:basedOn w:val="Absatz-Standardschriftart"/>
    <w:rsid w:val="00863204"/>
  </w:style>
  <w:style w:type="character" w:customStyle="1" w:styleId="scxw123682405">
    <w:name w:val="scxw123682405"/>
    <w:basedOn w:val="Absatz-Standardschriftart"/>
    <w:rsid w:val="00863204"/>
  </w:style>
  <w:style w:type="character" w:customStyle="1" w:styleId="eop">
    <w:name w:val="eop"/>
    <w:basedOn w:val="Absatz-Standardschriftart"/>
    <w:rsid w:val="00863204"/>
  </w:style>
  <w:style w:type="character" w:customStyle="1" w:styleId="normaltextrun">
    <w:name w:val="normaltextrun"/>
    <w:basedOn w:val="Absatz-Standardschriftart"/>
    <w:rsid w:val="00863204"/>
  </w:style>
  <w:style w:type="character" w:customStyle="1" w:styleId="tabchar">
    <w:name w:val="tabchar"/>
    <w:basedOn w:val="Absatz-Standardschriftart"/>
    <w:rsid w:val="00863204"/>
  </w:style>
  <w:style w:type="paragraph" w:styleId="StandardWeb">
    <w:name w:val="Normal (Web)"/>
    <w:basedOn w:val="Standard"/>
    <w:uiPriority w:val="99"/>
    <w:semiHidden/>
    <w:unhideWhenUsed/>
    <w:rsid w:val="00437E0F"/>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437E0F"/>
    <w:rPr>
      <w:b/>
      <w:bCs/>
    </w:rPr>
  </w:style>
  <w:style w:type="character" w:customStyle="1" w:styleId="apple-converted-space">
    <w:name w:val="apple-converted-space"/>
    <w:basedOn w:val="Absatz-Standardschriftart"/>
    <w:rsid w:val="00437E0F"/>
  </w:style>
  <w:style w:type="character" w:styleId="Hyperlink">
    <w:name w:val="Hyperlink"/>
    <w:basedOn w:val="Absatz-Standardschriftart"/>
    <w:uiPriority w:val="99"/>
    <w:semiHidden/>
    <w:unhideWhenUsed/>
    <w:rsid w:val="00437E0F"/>
    <w:rPr>
      <w:color w:val="0000FF"/>
      <w:u w:val="single"/>
    </w:rPr>
  </w:style>
  <w:style w:type="paragraph" w:styleId="KeinLeerraum">
    <w:name w:val="No Spacing"/>
    <w:uiPriority w:val="1"/>
    <w:qFormat/>
    <w:rsid w:val="00106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773147">
      <w:bodyDiv w:val="1"/>
      <w:marLeft w:val="0"/>
      <w:marRight w:val="0"/>
      <w:marTop w:val="0"/>
      <w:marBottom w:val="0"/>
      <w:divBdr>
        <w:top w:val="none" w:sz="0" w:space="0" w:color="auto"/>
        <w:left w:val="none" w:sz="0" w:space="0" w:color="auto"/>
        <w:bottom w:val="none" w:sz="0" w:space="0" w:color="auto"/>
        <w:right w:val="none" w:sz="0" w:space="0" w:color="auto"/>
      </w:divBdr>
      <w:divsChild>
        <w:div w:id="470900934">
          <w:marLeft w:val="0"/>
          <w:marRight w:val="0"/>
          <w:marTop w:val="0"/>
          <w:marBottom w:val="0"/>
          <w:divBdr>
            <w:top w:val="none" w:sz="0" w:space="0" w:color="auto"/>
            <w:left w:val="none" w:sz="0" w:space="0" w:color="auto"/>
            <w:bottom w:val="none" w:sz="0" w:space="0" w:color="auto"/>
            <w:right w:val="none" w:sz="0" w:space="0" w:color="auto"/>
          </w:divBdr>
        </w:div>
        <w:div w:id="539392029">
          <w:marLeft w:val="0"/>
          <w:marRight w:val="0"/>
          <w:marTop w:val="0"/>
          <w:marBottom w:val="0"/>
          <w:divBdr>
            <w:top w:val="none" w:sz="0" w:space="0" w:color="auto"/>
            <w:left w:val="none" w:sz="0" w:space="0" w:color="auto"/>
            <w:bottom w:val="none" w:sz="0" w:space="0" w:color="auto"/>
            <w:right w:val="none" w:sz="0" w:space="0" w:color="auto"/>
          </w:divBdr>
        </w:div>
        <w:div w:id="272983779">
          <w:marLeft w:val="0"/>
          <w:marRight w:val="0"/>
          <w:marTop w:val="0"/>
          <w:marBottom w:val="0"/>
          <w:divBdr>
            <w:top w:val="none" w:sz="0" w:space="0" w:color="auto"/>
            <w:left w:val="none" w:sz="0" w:space="0" w:color="auto"/>
            <w:bottom w:val="none" w:sz="0" w:space="0" w:color="auto"/>
            <w:right w:val="none" w:sz="0" w:space="0" w:color="auto"/>
          </w:divBdr>
        </w:div>
        <w:div w:id="1079182258">
          <w:marLeft w:val="0"/>
          <w:marRight w:val="0"/>
          <w:marTop w:val="0"/>
          <w:marBottom w:val="0"/>
          <w:divBdr>
            <w:top w:val="none" w:sz="0" w:space="0" w:color="auto"/>
            <w:left w:val="none" w:sz="0" w:space="0" w:color="auto"/>
            <w:bottom w:val="none" w:sz="0" w:space="0" w:color="auto"/>
            <w:right w:val="none" w:sz="0" w:space="0" w:color="auto"/>
          </w:divBdr>
        </w:div>
      </w:divsChild>
    </w:div>
    <w:div w:id="1700861142">
      <w:bodyDiv w:val="1"/>
      <w:marLeft w:val="0"/>
      <w:marRight w:val="0"/>
      <w:marTop w:val="0"/>
      <w:marBottom w:val="0"/>
      <w:divBdr>
        <w:top w:val="none" w:sz="0" w:space="0" w:color="auto"/>
        <w:left w:val="none" w:sz="0" w:space="0" w:color="auto"/>
        <w:bottom w:val="none" w:sz="0" w:space="0" w:color="auto"/>
        <w:right w:val="none" w:sz="0" w:space="0" w:color="auto"/>
      </w:divBdr>
      <w:divsChild>
        <w:div w:id="240261754">
          <w:marLeft w:val="0"/>
          <w:marRight w:val="0"/>
          <w:marTop w:val="0"/>
          <w:marBottom w:val="0"/>
          <w:divBdr>
            <w:top w:val="none" w:sz="0" w:space="0" w:color="auto"/>
            <w:left w:val="none" w:sz="0" w:space="0" w:color="auto"/>
            <w:bottom w:val="none" w:sz="0" w:space="0" w:color="auto"/>
            <w:right w:val="none" w:sz="0" w:space="0" w:color="auto"/>
          </w:divBdr>
          <w:divsChild>
            <w:div w:id="10534291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33467156">
      <w:bodyDiv w:val="1"/>
      <w:marLeft w:val="0"/>
      <w:marRight w:val="0"/>
      <w:marTop w:val="0"/>
      <w:marBottom w:val="0"/>
      <w:divBdr>
        <w:top w:val="none" w:sz="0" w:space="0" w:color="auto"/>
        <w:left w:val="none" w:sz="0" w:space="0" w:color="auto"/>
        <w:bottom w:val="none" w:sz="0" w:space="0" w:color="auto"/>
        <w:right w:val="none" w:sz="0" w:space="0" w:color="auto"/>
      </w:divBdr>
      <w:divsChild>
        <w:div w:id="1913274840">
          <w:marLeft w:val="0"/>
          <w:marRight w:val="0"/>
          <w:marTop w:val="0"/>
          <w:marBottom w:val="0"/>
          <w:divBdr>
            <w:top w:val="none" w:sz="0" w:space="0" w:color="auto"/>
            <w:left w:val="none" w:sz="0" w:space="0" w:color="auto"/>
            <w:bottom w:val="none" w:sz="0" w:space="0" w:color="auto"/>
            <w:right w:val="none" w:sz="0" w:space="0" w:color="auto"/>
          </w:divBdr>
          <w:divsChild>
            <w:div w:id="5617202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min.ch/opc/de/classified-compilation/19110009/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min.ch/opc/de/classified-compilation/20002716/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dmin.ch/opc/de/classified-compilation/20180857/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96fd79-98ba-4f65-8f1c-dd325b00f6f8">
      <Terms xmlns="http://schemas.microsoft.com/office/infopath/2007/PartnerControls"/>
    </lcf76f155ced4ddcb4097134ff3c332f>
    <TaxCatchAll xmlns="0b44a7fb-96c0-43ce-b64e-30896d2833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F394FA53047014F89ABD98BB940B8ED" ma:contentTypeVersion="11" ma:contentTypeDescription="Ein neues Dokument erstellen." ma:contentTypeScope="" ma:versionID="9d237a070fd09dcdc5240a7d3c7babb7">
  <xsd:schema xmlns:xsd="http://www.w3.org/2001/XMLSchema" xmlns:xs="http://www.w3.org/2001/XMLSchema" xmlns:p="http://schemas.microsoft.com/office/2006/metadata/properties" xmlns:ns2="ca96fd79-98ba-4f65-8f1c-dd325b00f6f8" xmlns:ns3="0b44a7fb-96c0-43ce-b64e-30896d283378" targetNamespace="http://schemas.microsoft.com/office/2006/metadata/properties" ma:root="true" ma:fieldsID="1af983753e80105d89bc18c78bdda109" ns2:_="" ns3:_="">
    <xsd:import namespace="ca96fd79-98ba-4f65-8f1c-dd325b00f6f8"/>
    <xsd:import namespace="0b44a7fb-96c0-43ce-b64e-30896d2833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6fd79-98ba-4f65-8f1c-dd325b00f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7d9b149-5699-408d-a1f7-8a04f3dbb9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4a7fb-96c0-43ce-b64e-30896d2833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1f783a-91d1-4102-985f-37f13d6108ff}" ma:internalName="TaxCatchAll" ma:showField="CatchAllData" ma:web="0b44a7fb-96c0-43ce-b64e-30896d283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68457-EF4D-4D85-9992-F93AE16FAA0C}">
  <ds:schemaRefs>
    <ds:schemaRef ds:uri="http://schemas.microsoft.com/office/2006/metadata/properties"/>
    <ds:schemaRef ds:uri="http://schemas.microsoft.com/office/infopath/2007/PartnerControls"/>
    <ds:schemaRef ds:uri="ca96fd79-98ba-4f65-8f1c-dd325b00f6f8"/>
    <ds:schemaRef ds:uri="0b44a7fb-96c0-43ce-b64e-30896d283378"/>
  </ds:schemaRefs>
</ds:datastoreItem>
</file>

<file path=customXml/itemProps2.xml><?xml version="1.0" encoding="utf-8"?>
<ds:datastoreItem xmlns:ds="http://schemas.openxmlformats.org/officeDocument/2006/customXml" ds:itemID="{0455824B-A5CD-4AD5-A2C8-BFBA5EEAD94E}">
  <ds:schemaRefs>
    <ds:schemaRef ds:uri="http://schemas.microsoft.com/sharepoint/v3/contenttype/forms"/>
  </ds:schemaRefs>
</ds:datastoreItem>
</file>

<file path=customXml/itemProps3.xml><?xml version="1.0" encoding="utf-8"?>
<ds:datastoreItem xmlns:ds="http://schemas.openxmlformats.org/officeDocument/2006/customXml" ds:itemID="{967450C7-B1E9-461A-9112-A64A4122C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6fd79-98ba-4f65-8f1c-dd325b00f6f8"/>
    <ds:schemaRef ds:uri="0b44a7fb-96c0-43ce-b64e-30896d283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1281</Words>
  <Characters>8072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Balmer</dc:creator>
  <cp:keywords/>
  <dc:description/>
  <cp:lastModifiedBy>Kim Balmer</cp:lastModifiedBy>
  <cp:revision>57</cp:revision>
  <dcterms:created xsi:type="dcterms:W3CDTF">2025-02-18T12:14:00Z</dcterms:created>
  <dcterms:modified xsi:type="dcterms:W3CDTF">2025-03-14T13:05:00Z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0x010100EF394FA53047014F89ABD98BB940B8ED</vt:lpwstr>
  </property>
  <property fmtid="{D5CDD505-2E9C-101B-9397-08002B2CF9AE}" pid="3" name="MediaServiceImageTags">
    <vt:lpwstr/>
  </property>
</Properties>
</file>