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69B8" w14:textId="0524C198" w:rsidR="00863204" w:rsidRPr="008E1883" w:rsidRDefault="60A65E9E" w:rsidP="008E1883">
      <w:pPr>
        <w:pStyle w:val="Titel"/>
        <w:jc w:val="center"/>
        <w:rPr>
          <w:sz w:val="44"/>
          <w:szCs w:val="44"/>
        </w:rPr>
      </w:pPr>
      <w:r w:rsidRPr="0022783A">
        <w:rPr>
          <w:sz w:val="44"/>
          <w:szCs w:val="44"/>
        </w:rPr>
        <w:t>Aufbewahrung und Archivierung von Person</w:t>
      </w:r>
      <w:r w:rsidR="00AE1E7A">
        <w:rPr>
          <w:sz w:val="44"/>
          <w:szCs w:val="44"/>
        </w:rPr>
        <w:t>al</w:t>
      </w:r>
      <w:r w:rsidRPr="0022783A">
        <w:rPr>
          <w:sz w:val="44"/>
          <w:szCs w:val="44"/>
        </w:rPr>
        <w:t>daten</w:t>
      </w:r>
    </w:p>
    <w:p w14:paraId="55F415DE" w14:textId="42BBA42E" w:rsidR="5002AFAB" w:rsidRDefault="5002AFAB" w:rsidP="5002AFAB">
      <w:pPr>
        <w:rPr>
          <w:rFonts w:ascii="Aptos" w:eastAsia="Aptos" w:hAnsi="Aptos" w:cs="Aptos"/>
        </w:rPr>
      </w:pPr>
    </w:p>
    <w:p w14:paraId="5EBCBDC2" w14:textId="01A0F6D7" w:rsidR="60A65E9E" w:rsidRDefault="60A65E9E" w:rsidP="008E1883">
      <w:pPr>
        <w:pStyle w:val="berschrift2"/>
        <w:rPr>
          <w:rFonts w:eastAsia="Aptos"/>
        </w:rPr>
      </w:pPr>
      <w:r w:rsidRPr="5002AFAB">
        <w:rPr>
          <w:rFonts w:eastAsia="Aptos"/>
        </w:rPr>
        <w:t>Zweck</w:t>
      </w:r>
    </w:p>
    <w:p w14:paraId="0BB9BB1D" w14:textId="00034F1E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Diese SOP beschreibt die Verfahren zur Aufbewahrung und Archivierung von Personendaten, um die gesetzlichen Anforderungen zu erfüllen und den Datenschutz zu gewährleisten.</w:t>
      </w:r>
    </w:p>
    <w:p w14:paraId="17591D9A" w14:textId="50409A13" w:rsidR="5002AFAB" w:rsidRDefault="5002AFAB" w:rsidP="5002AFAB">
      <w:pPr>
        <w:rPr>
          <w:rFonts w:ascii="Aptos" w:eastAsia="Aptos" w:hAnsi="Aptos" w:cs="Aptos"/>
        </w:rPr>
      </w:pPr>
    </w:p>
    <w:p w14:paraId="0E433A76" w14:textId="1D80EC52" w:rsidR="60A65E9E" w:rsidRDefault="60A65E9E" w:rsidP="008E1883">
      <w:pPr>
        <w:pStyle w:val="berschrift2"/>
        <w:rPr>
          <w:rFonts w:eastAsia="Aptos"/>
        </w:rPr>
      </w:pPr>
      <w:r w:rsidRPr="5002AFAB">
        <w:rPr>
          <w:rFonts w:eastAsia="Aptos"/>
        </w:rPr>
        <w:t>Geltungsbereich</w:t>
      </w:r>
    </w:p>
    <w:p w14:paraId="5A34C5D8" w14:textId="52BA2B82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Diese SOP gilt für alle Mitarbeiter von Viva Hub AG, die mit der Erfassung, Verarbeitung und Aufbewahrung von Personendaten betraut sind.</w:t>
      </w:r>
    </w:p>
    <w:p w14:paraId="5CCD0D3F" w14:textId="131A2BB8" w:rsidR="5002AFAB" w:rsidRDefault="5002AFAB" w:rsidP="5002AFAB">
      <w:pPr>
        <w:rPr>
          <w:rFonts w:ascii="Aptos" w:eastAsia="Aptos" w:hAnsi="Aptos" w:cs="Aptos"/>
        </w:rPr>
      </w:pPr>
    </w:p>
    <w:p w14:paraId="2E18C4AD" w14:textId="0613D91A" w:rsidR="60A65E9E" w:rsidRDefault="60A65E9E" w:rsidP="008E1883">
      <w:pPr>
        <w:pStyle w:val="berschrift2"/>
        <w:rPr>
          <w:rFonts w:eastAsia="Aptos"/>
        </w:rPr>
      </w:pPr>
      <w:r w:rsidRPr="5002AFAB">
        <w:rPr>
          <w:rFonts w:eastAsia="Aptos"/>
        </w:rPr>
        <w:t>Verantwortlichkeiten</w:t>
      </w:r>
    </w:p>
    <w:p w14:paraId="67D5B8D0" w14:textId="1B982449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Datenschutzbeauftragter Überwachung der Einhaltung der SOP und regelmäßige Schulung der Mitarbeiter.</w:t>
      </w:r>
    </w:p>
    <w:p w14:paraId="00856602" w14:textId="24BE1A63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Mitarbeiter Einhaltung dieser SOP und Meldung von Abweichungen oder Sicherheitsvorfällen an den Datenschutzbeauftragten.</w:t>
      </w:r>
    </w:p>
    <w:p w14:paraId="3A6EEA57" w14:textId="16DD3685" w:rsidR="5002AFAB" w:rsidRDefault="5002AFAB" w:rsidP="5002AFAB">
      <w:pPr>
        <w:rPr>
          <w:rFonts w:ascii="Aptos" w:eastAsia="Aptos" w:hAnsi="Aptos" w:cs="Aptos"/>
        </w:rPr>
      </w:pPr>
    </w:p>
    <w:p w14:paraId="0C262335" w14:textId="15E3EED6" w:rsidR="5002AFAB" w:rsidRPr="008E1883" w:rsidRDefault="60A65E9E" w:rsidP="008E1883">
      <w:pPr>
        <w:pStyle w:val="berschrift2"/>
        <w:rPr>
          <w:rFonts w:eastAsia="Aptos"/>
        </w:rPr>
      </w:pPr>
      <w:r w:rsidRPr="5002AFAB">
        <w:rPr>
          <w:rFonts w:eastAsia="Aptos"/>
        </w:rPr>
        <w:t>Aufbewahrungsfristen</w:t>
      </w:r>
    </w:p>
    <w:p w14:paraId="583025E2" w14:textId="29C8C47C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Die folgenden gesetzlichen Aufbewahrungsfristen sind einzuhalten</w:t>
      </w:r>
    </w:p>
    <w:p w14:paraId="281783F5" w14:textId="7197A980" w:rsidR="5002AFAB" w:rsidRDefault="5002AFAB" w:rsidP="5002AFAB">
      <w:pPr>
        <w:rPr>
          <w:rFonts w:ascii="Aptos" w:eastAsia="Aptos" w:hAnsi="Aptos" w:cs="Aptos"/>
        </w:rPr>
      </w:pPr>
    </w:p>
    <w:p w14:paraId="7FB1C076" w14:textId="2352C385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Krankengeschichten 20 Jahre nach Abschluss der jeweiligen Behandlung (Art. 60 Abs. 1bis und 2 OR).</w:t>
      </w:r>
    </w:p>
    <w:p w14:paraId="3A985D93" w14:textId="7E100743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Dokumentation von Strahlenanwendungen 20 Jahre für Expositionsparameter, 10 Jahre für Anwendungen im mittleren und Hochdosisbereich sowie Mammografie (Art. 20 Abs. 5 RöV).</w:t>
      </w:r>
    </w:p>
    <w:p w14:paraId="2645903B" w14:textId="758D4727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Dokumentation des Umgangs mit Blutprodukten 30 Jahre (Art. 39 und 40 HMG).</w:t>
      </w:r>
    </w:p>
    <w:p w14:paraId="059EA3FC" w14:textId="27CF2566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Dokumentation des Umgangs mit Organen, Geweben oder Zellen 20 Jahre (Art. 34 und 35 Transplantationsgesetz).</w:t>
      </w:r>
    </w:p>
    <w:p w14:paraId="26753666" w14:textId="0D3AE857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Arbeitsmedizinische Dokumente 40 Jahre (Art. 8 Anhang 4 zur Standesordnung der FMH).</w:t>
      </w:r>
    </w:p>
    <w:p w14:paraId="29AC4133" w14:textId="00AD33C8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Personaldossiers 5 Jahre ab Austritt des Mitarbeitenden (Art. 330a OR).</w:t>
      </w:r>
    </w:p>
    <w:p w14:paraId="7CF704E0" w14:textId="2D613DEC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Rechnungen und Steuerunterlagen 10 Jahre (Art. 958 und 958f OR).</w:t>
      </w:r>
    </w:p>
    <w:p w14:paraId="5D62C49C" w14:textId="473EC79B" w:rsidR="5002AFAB" w:rsidRDefault="5002AFAB" w:rsidP="5002AFAB">
      <w:pPr>
        <w:rPr>
          <w:rFonts w:ascii="Aptos" w:eastAsia="Aptos" w:hAnsi="Aptos" w:cs="Aptos"/>
        </w:rPr>
      </w:pPr>
    </w:p>
    <w:p w14:paraId="1C7E908A" w14:textId="026396D4" w:rsidR="60A65E9E" w:rsidRDefault="60A65E9E" w:rsidP="008E1883">
      <w:pPr>
        <w:pStyle w:val="berschrift2"/>
        <w:rPr>
          <w:rFonts w:eastAsia="Aptos"/>
        </w:rPr>
      </w:pPr>
      <w:r w:rsidRPr="5002AFAB">
        <w:rPr>
          <w:rFonts w:eastAsia="Aptos"/>
        </w:rPr>
        <w:lastRenderedPageBreak/>
        <w:t>Technische Anforderungen</w:t>
      </w:r>
    </w:p>
    <w:p w14:paraId="09B35527" w14:textId="68ECD8A8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Sichere Aufbewahrung Personendaten sind in verschlossenen Aktenschränken oder gesicherten digitalen Systemen aufzubewahren. Der Zugang ist auf berechtigte Personen zu beschränken.</w:t>
      </w:r>
    </w:p>
    <w:p w14:paraId="19FEE28A" w14:textId="4C03D1A3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Schutz vor Umwelteinflüssen Datenträger sind vor Wasser, Feuer und anderen Umwelteinflüssen zu schützen.</w:t>
      </w:r>
    </w:p>
    <w:p w14:paraId="5DFDF273" w14:textId="004DD765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Digitale Formate Digitale Daten sind in archivierungstauglichen Formaten (z.B. PDFA, TIFF) aufzubewahren und regelmäßig zu aktualisieren.</w:t>
      </w:r>
    </w:p>
    <w:p w14:paraId="0A50A48F" w14:textId="61A6ABD5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Back-ups Regelmäßige Back-ups sind durchzuführen und mindestens einmal jährlich zu testen.</w:t>
      </w:r>
    </w:p>
    <w:p w14:paraId="07EC3409" w14:textId="01A614EF" w:rsidR="5002AFAB" w:rsidRDefault="5002AFAB" w:rsidP="5002AFAB">
      <w:pPr>
        <w:rPr>
          <w:rFonts w:ascii="Aptos" w:eastAsia="Aptos" w:hAnsi="Aptos" w:cs="Aptos"/>
        </w:rPr>
      </w:pPr>
    </w:p>
    <w:p w14:paraId="2543CE32" w14:textId="16F9F636" w:rsidR="60A65E9E" w:rsidRDefault="60A65E9E" w:rsidP="008E1883">
      <w:pPr>
        <w:pStyle w:val="berschrift2"/>
        <w:rPr>
          <w:rFonts w:eastAsia="Aptos"/>
        </w:rPr>
      </w:pPr>
      <w:r w:rsidRPr="5002AFAB">
        <w:rPr>
          <w:rFonts w:eastAsia="Aptos"/>
        </w:rPr>
        <w:t>Vernichtung von Daten</w:t>
      </w:r>
    </w:p>
    <w:p w14:paraId="104370FD" w14:textId="72BFF5DA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Physische Vernichtung Mechanische Zerstörung von Datenträgern (z.B. Schreddern).</w:t>
      </w:r>
    </w:p>
    <w:p w14:paraId="0F346E61" w14:textId="1120FD83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Magnetische Löschung Nutzung spezieller Löschgeräte für Festplatten.</w:t>
      </w:r>
    </w:p>
    <w:p w14:paraId="323FEE26" w14:textId="41C0B4FF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Technisches Überschreiben Mehrmaliges Überschreiben von Daten mit zufälligen Zeichenfolgen.</w:t>
      </w:r>
    </w:p>
    <w:p w14:paraId="63A406FE" w14:textId="2CEADD11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 xml:space="preserve">- Löschen von SSDs Nutzung von ATA Secure </w:t>
      </w:r>
      <w:proofErr w:type="spellStart"/>
      <w:r w:rsidRPr="5002AFAB">
        <w:rPr>
          <w:rFonts w:ascii="Aptos" w:eastAsia="Aptos" w:hAnsi="Aptos" w:cs="Aptos"/>
        </w:rPr>
        <w:t>Erase</w:t>
      </w:r>
      <w:proofErr w:type="spellEnd"/>
      <w:r w:rsidRPr="5002AFAB">
        <w:rPr>
          <w:rFonts w:ascii="Aptos" w:eastAsia="Aptos" w:hAnsi="Aptos" w:cs="Aptos"/>
        </w:rPr>
        <w:t xml:space="preserve"> oder Verschlüsselung und anschließendes Löschen des Schlüssels.</w:t>
      </w:r>
    </w:p>
    <w:p w14:paraId="69E18982" w14:textId="07B96999" w:rsidR="5002AFAB" w:rsidRDefault="5002AFAB" w:rsidP="5002AFAB">
      <w:pPr>
        <w:rPr>
          <w:rFonts w:ascii="Aptos" w:eastAsia="Aptos" w:hAnsi="Aptos" w:cs="Aptos"/>
        </w:rPr>
      </w:pPr>
    </w:p>
    <w:p w14:paraId="517BB5BB" w14:textId="724500BD" w:rsidR="60A65E9E" w:rsidRDefault="60A65E9E" w:rsidP="008E1883">
      <w:pPr>
        <w:pStyle w:val="berschrift2"/>
        <w:rPr>
          <w:rFonts w:eastAsia="Aptos"/>
        </w:rPr>
      </w:pPr>
      <w:r w:rsidRPr="5002AFAB">
        <w:rPr>
          <w:rFonts w:eastAsia="Aptos"/>
        </w:rPr>
        <w:t>Organisatorisches</w:t>
      </w:r>
    </w:p>
    <w:p w14:paraId="5DB045EB" w14:textId="1776DA3D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Verzeichnis der Bearbeitungstätigkeiten Dokumentation aller Aufbewahrungs- und Löschfristen.</w:t>
      </w:r>
    </w:p>
    <w:p w14:paraId="196C51F9" w14:textId="152A0879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Prüfprozesse Regelmäßige Überprüfung der Einhaltung der Aufbewahrungsfristen und der Datensicherheit.</w:t>
      </w:r>
    </w:p>
    <w:p w14:paraId="63EBB1D6" w14:textId="680A96F6" w:rsidR="5002AFAB" w:rsidRDefault="5002AFAB" w:rsidP="5002AFAB">
      <w:pPr>
        <w:rPr>
          <w:rFonts w:ascii="Aptos" w:eastAsia="Aptos" w:hAnsi="Aptos" w:cs="Aptos"/>
        </w:rPr>
      </w:pPr>
    </w:p>
    <w:p w14:paraId="5462534A" w14:textId="511D1A13" w:rsidR="60A65E9E" w:rsidRDefault="60A65E9E" w:rsidP="008E1883">
      <w:pPr>
        <w:pStyle w:val="berschrift2"/>
        <w:rPr>
          <w:rFonts w:eastAsia="Aptos"/>
        </w:rPr>
      </w:pPr>
      <w:r w:rsidRPr="5002AFAB">
        <w:rPr>
          <w:rFonts w:eastAsia="Aptos"/>
        </w:rPr>
        <w:t>Zusammenarbeit mit Dritten</w:t>
      </w:r>
    </w:p>
    <w:p w14:paraId="760DFAAA" w14:textId="40CCC073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Vertragliche Bestimmungen Verträge mit Dienstleistern zur Aufbewahrung von Daten müssen Datenschutzanforderungen enthalten.</w:t>
      </w:r>
    </w:p>
    <w:p w14:paraId="75876C52" w14:textId="244C9EF3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Sicherheitsvorfälle Definition von Verfahren zur Behandlung von Sicherheitsvorfällen.</w:t>
      </w:r>
    </w:p>
    <w:p w14:paraId="060182FA" w14:textId="4C63725D" w:rsidR="5002AFAB" w:rsidRDefault="5002AFAB" w:rsidP="5002AFAB">
      <w:pPr>
        <w:rPr>
          <w:rFonts w:ascii="Aptos" w:eastAsia="Aptos" w:hAnsi="Aptos" w:cs="Aptos"/>
        </w:rPr>
      </w:pPr>
    </w:p>
    <w:p w14:paraId="431F8EB0" w14:textId="1F8C89B3" w:rsidR="60A65E9E" w:rsidRDefault="60A65E9E" w:rsidP="008E1883">
      <w:pPr>
        <w:pStyle w:val="berschrift2"/>
        <w:rPr>
          <w:rFonts w:eastAsia="Aptos"/>
        </w:rPr>
      </w:pPr>
      <w:r w:rsidRPr="5002AFAB">
        <w:rPr>
          <w:rFonts w:eastAsia="Aptos"/>
        </w:rPr>
        <w:t>Schulung und Sensibilisierung</w:t>
      </w:r>
    </w:p>
    <w:p w14:paraId="1AE86FFD" w14:textId="0895F66F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Alle Mitarbeiter sind regelmäßig über die Anforderungen dieser SOP zu schulen und für den Datenschutz zu sensibilisieren.</w:t>
      </w:r>
    </w:p>
    <w:p w14:paraId="2AB268F4" w14:textId="5F5CBE7D" w:rsidR="5002AFAB" w:rsidRDefault="008E1883" w:rsidP="008E1883">
      <w:pPr>
        <w:spacing w:after="1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br w:type="page"/>
      </w:r>
    </w:p>
    <w:p w14:paraId="5FD7B564" w14:textId="12AD5221" w:rsidR="60A65E9E" w:rsidRDefault="60A65E9E" w:rsidP="008E1883">
      <w:pPr>
        <w:pStyle w:val="berschrift2"/>
        <w:rPr>
          <w:rFonts w:eastAsia="Aptos"/>
        </w:rPr>
      </w:pPr>
      <w:r w:rsidRPr="5002AFAB">
        <w:rPr>
          <w:rFonts w:eastAsia="Aptos"/>
        </w:rPr>
        <w:lastRenderedPageBreak/>
        <w:t>Dokumentation und Kontrolle</w:t>
      </w:r>
    </w:p>
    <w:p w14:paraId="7870E6FC" w14:textId="250B6A6A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Dokumentation Alle Aufbewahrungs- und Löschvorgänge sind zu dokumentieren.</w:t>
      </w:r>
    </w:p>
    <w:p w14:paraId="42A9BA60" w14:textId="326F10D1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- Kontrolle Regelmäßige interne Audits zur Überprüfung der Einhaltung dieser SOP.</w:t>
      </w:r>
    </w:p>
    <w:p w14:paraId="4620ADE9" w14:textId="17AFEDF1" w:rsidR="5002AFAB" w:rsidRDefault="5002AFAB" w:rsidP="5002AFAB">
      <w:pPr>
        <w:rPr>
          <w:rFonts w:ascii="Aptos" w:eastAsia="Aptos" w:hAnsi="Aptos" w:cs="Aptos"/>
        </w:rPr>
      </w:pPr>
    </w:p>
    <w:p w14:paraId="1DB65C83" w14:textId="4102FD38" w:rsidR="60A65E9E" w:rsidRDefault="60A65E9E" w:rsidP="008E1883">
      <w:pPr>
        <w:pStyle w:val="berschrift2"/>
        <w:rPr>
          <w:rFonts w:eastAsia="Aptos"/>
        </w:rPr>
      </w:pPr>
      <w:r w:rsidRPr="5002AFAB">
        <w:rPr>
          <w:rFonts w:eastAsia="Aptos"/>
        </w:rPr>
        <w:t>Inkrafttreten</w:t>
      </w:r>
    </w:p>
    <w:p w14:paraId="2DA9383D" w14:textId="794C067B" w:rsidR="60A65E9E" w:rsidRDefault="60A65E9E" w:rsidP="5002AFAB">
      <w:pPr>
        <w:rPr>
          <w:rFonts w:ascii="Aptos" w:eastAsia="Aptos" w:hAnsi="Aptos" w:cs="Aptos"/>
        </w:rPr>
      </w:pPr>
      <w:r w:rsidRPr="5002AFAB">
        <w:rPr>
          <w:rFonts w:ascii="Aptos" w:eastAsia="Aptos" w:hAnsi="Aptos" w:cs="Aptos"/>
        </w:rPr>
        <w:t>Diese SOP tritt mit sofortiger Wirkung in Kraft und ist regelmäßig zu überprüfen und bei Bedarf zu aktualisieren.</w:t>
      </w:r>
    </w:p>
    <w:p w14:paraId="3790C084" w14:textId="0816F94D" w:rsidR="5002AFAB" w:rsidRDefault="5002AFAB"/>
    <w:sectPr w:rsidR="5002AFAB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F925C" w14:textId="77777777" w:rsidR="00256612" w:rsidRDefault="00256612" w:rsidP="00863204">
      <w:pPr>
        <w:spacing w:line="240" w:lineRule="auto"/>
      </w:pPr>
      <w:r>
        <w:separator/>
      </w:r>
    </w:p>
  </w:endnote>
  <w:endnote w:type="continuationSeparator" w:id="0">
    <w:p w14:paraId="53ABECFE" w14:textId="77777777" w:rsidR="00256612" w:rsidRDefault="00256612" w:rsidP="00863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15773143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63AC6E9" w14:textId="465ABFE8" w:rsidR="00863204" w:rsidRDefault="00863204" w:rsidP="0052135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9848A34" w14:textId="77777777" w:rsidR="00863204" w:rsidRDefault="00863204" w:rsidP="0086320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9222" w14:textId="032F7BA1" w:rsidR="00863204" w:rsidRPr="00863204" w:rsidRDefault="005EA1DF" w:rsidP="005EA1DF">
    <w:pPr>
      <w:pStyle w:val="paragraph"/>
      <w:tabs>
        <w:tab w:val="left" w:pos="851"/>
        <w:tab w:val="left" w:pos="5387"/>
        <w:tab w:val="left" w:pos="6521"/>
      </w:tabs>
      <w:spacing w:before="0" w:beforeAutospacing="0" w:after="0" w:afterAutospacing="0"/>
      <w:textAlignment w:val="baseline"/>
      <w:rPr>
        <w:rFonts w:asciiTheme="minorHAnsi" w:hAnsiTheme="minorHAnsi"/>
        <w:sz w:val="15"/>
        <w:szCs w:val="15"/>
      </w:rPr>
    </w:pPr>
    <w:r w:rsidRPr="005EA1DF">
      <w:rPr>
        <w:rFonts w:asciiTheme="minorHAnsi" w:hAnsiTheme="minorHAnsi"/>
        <w:sz w:val="15"/>
        <w:szCs w:val="15"/>
      </w:rPr>
      <w:t>Dokument:</w:t>
    </w:r>
    <w:r w:rsidR="00863204">
      <w:tab/>
    </w:r>
    <w:r w:rsidRPr="005EA1DF">
      <w:rPr>
        <w:rFonts w:asciiTheme="minorHAnsi" w:hAnsiTheme="minorHAnsi"/>
        <w:sz w:val="15"/>
        <w:szCs w:val="15"/>
      </w:rPr>
      <w:t>Datenschutz</w:t>
    </w:r>
    <w:r w:rsidR="00863204">
      <w:tab/>
    </w:r>
    <w:proofErr w:type="gramStart"/>
    <w:r w:rsidRPr="005EA1DF">
      <w:rPr>
        <w:rFonts w:asciiTheme="minorHAnsi" w:hAnsiTheme="minorHAnsi"/>
        <w:sz w:val="15"/>
        <w:szCs w:val="15"/>
      </w:rPr>
      <w:t>Erstellt</w:t>
    </w:r>
    <w:proofErr w:type="gramEnd"/>
    <w:r w:rsidRPr="005EA1DF">
      <w:rPr>
        <w:rFonts w:asciiTheme="minorHAnsi" w:hAnsiTheme="minorHAnsi"/>
        <w:sz w:val="15"/>
        <w:szCs w:val="15"/>
      </w:rPr>
      <w:t xml:space="preserve"> durch: </w:t>
    </w:r>
    <w:r w:rsidR="00863204">
      <w:tab/>
    </w:r>
    <w:r w:rsidRPr="005EA1DF">
      <w:rPr>
        <w:rFonts w:asciiTheme="minorHAnsi" w:hAnsiTheme="minorHAnsi"/>
        <w:sz w:val="15"/>
        <w:szCs w:val="15"/>
      </w:rPr>
      <w:t>Johannes Nürnberg</w:t>
    </w:r>
  </w:p>
  <w:p w14:paraId="34999B3C" w14:textId="328E23C2" w:rsidR="00863204" w:rsidRPr="00863204" w:rsidRDefault="00863204" w:rsidP="00F74889">
    <w:pPr>
      <w:pStyle w:val="paragraph"/>
      <w:tabs>
        <w:tab w:val="left" w:pos="851"/>
        <w:tab w:val="left" w:pos="5387"/>
        <w:tab w:val="left" w:pos="6521"/>
      </w:tabs>
      <w:spacing w:before="0" w:beforeAutospacing="0" w:after="0" w:afterAutospacing="0"/>
      <w:textAlignment w:val="baseline"/>
      <w:rPr>
        <w:rFonts w:asciiTheme="minorHAnsi" w:hAnsiTheme="minorHAnsi"/>
        <w:sz w:val="15"/>
        <w:szCs w:val="15"/>
      </w:rPr>
    </w:pPr>
    <w:r w:rsidRPr="00863204">
      <w:rPr>
        <w:rFonts w:asciiTheme="minorHAnsi" w:hAnsiTheme="minorHAnsi"/>
        <w:sz w:val="15"/>
        <w:szCs w:val="15"/>
      </w:rPr>
      <w:t>Version:</w:t>
    </w:r>
    <w:r>
      <w:rPr>
        <w:rFonts w:asciiTheme="minorHAnsi" w:hAnsiTheme="minorHAnsi"/>
        <w:sz w:val="15"/>
        <w:szCs w:val="15"/>
      </w:rPr>
      <w:t xml:space="preserve"> </w:t>
    </w:r>
    <w:r w:rsidR="00F74889">
      <w:rPr>
        <w:rFonts w:asciiTheme="minorHAnsi" w:hAnsiTheme="minorHAnsi"/>
        <w:sz w:val="15"/>
        <w:szCs w:val="15"/>
      </w:rPr>
      <w:tab/>
    </w:r>
    <w:r>
      <w:rPr>
        <w:rFonts w:asciiTheme="minorHAnsi" w:hAnsiTheme="minorHAnsi"/>
        <w:sz w:val="15"/>
        <w:szCs w:val="15"/>
      </w:rPr>
      <w:t>1</w:t>
    </w:r>
    <w:r w:rsidR="00F74889">
      <w:rPr>
        <w:rFonts w:asciiTheme="minorHAnsi" w:hAnsiTheme="minorHAnsi"/>
        <w:sz w:val="15"/>
        <w:szCs w:val="15"/>
      </w:rPr>
      <w:t>/1</w:t>
    </w:r>
    <w:r w:rsidRPr="00863204">
      <w:rPr>
        <w:rFonts w:asciiTheme="minorHAnsi" w:hAnsiTheme="minorHAnsi"/>
        <w:sz w:val="15"/>
        <w:szCs w:val="15"/>
      </w:rPr>
      <w:tab/>
      <w:t xml:space="preserve">Genehmigt von: </w:t>
    </w:r>
    <w:r w:rsidR="00F74889">
      <w:rPr>
        <w:rFonts w:asciiTheme="minorHAnsi" w:hAnsiTheme="minorHAnsi"/>
        <w:sz w:val="15"/>
        <w:szCs w:val="15"/>
      </w:rPr>
      <w:tab/>
    </w:r>
    <w:r>
      <w:rPr>
        <w:rFonts w:asciiTheme="minorHAnsi" w:hAnsiTheme="minorHAnsi"/>
        <w:sz w:val="15"/>
        <w:szCs w:val="15"/>
      </w:rPr>
      <w:t>Johannes Nürnberg</w:t>
    </w:r>
  </w:p>
  <w:p w14:paraId="0D1B9629" w14:textId="33255BD9" w:rsidR="00863204" w:rsidRPr="00863204" w:rsidRDefault="005EA1DF" w:rsidP="005EA1DF">
    <w:pPr>
      <w:pStyle w:val="paragraph"/>
      <w:tabs>
        <w:tab w:val="left" w:pos="851"/>
        <w:tab w:val="left" w:pos="5387"/>
        <w:tab w:val="left" w:pos="6521"/>
      </w:tabs>
      <w:spacing w:before="0" w:beforeAutospacing="0" w:after="0" w:afterAutospacing="0"/>
      <w:rPr>
        <w:rFonts w:asciiTheme="minorHAnsi" w:hAnsiTheme="minorHAnsi"/>
        <w:sz w:val="15"/>
        <w:szCs w:val="15"/>
      </w:rPr>
    </w:pPr>
    <w:r w:rsidRPr="005EA1DF">
      <w:rPr>
        <w:rFonts w:asciiTheme="minorHAnsi" w:hAnsiTheme="minorHAnsi"/>
        <w:sz w:val="15"/>
        <w:szCs w:val="15"/>
      </w:rPr>
      <w:t xml:space="preserve">Datum: </w:t>
    </w:r>
    <w:r w:rsidR="00863204">
      <w:tab/>
    </w:r>
    <w:r w:rsidRPr="005EA1DF">
      <w:rPr>
        <w:rFonts w:asciiTheme="minorHAnsi" w:hAnsiTheme="minorHAnsi"/>
        <w:sz w:val="15"/>
        <w:szCs w:val="15"/>
      </w:rPr>
      <w:t>07.11.2024</w:t>
    </w:r>
    <w:r w:rsidR="00863204">
      <w:tab/>
    </w:r>
    <w:r w:rsidRPr="005EA1DF">
      <w:rPr>
        <w:rFonts w:asciiTheme="minorHAnsi" w:hAnsiTheme="minorHAnsi"/>
        <w:sz w:val="15"/>
        <w:szCs w:val="15"/>
      </w:rPr>
      <w:t>Seite:</w:t>
    </w:r>
    <w:r w:rsidR="00863204">
      <w:tab/>
    </w:r>
    <w:r w:rsidRPr="005EA1DF">
      <w:rPr>
        <w:rFonts w:asciiTheme="minorHAnsi" w:hAnsiTheme="minorHAnsi"/>
        <w:sz w:val="15"/>
        <w:szCs w:val="15"/>
      </w:rPr>
      <w:t>1 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8045C" w14:textId="77777777" w:rsidR="00256612" w:rsidRDefault="00256612" w:rsidP="00863204">
      <w:pPr>
        <w:spacing w:line="240" w:lineRule="auto"/>
      </w:pPr>
      <w:r>
        <w:separator/>
      </w:r>
    </w:p>
  </w:footnote>
  <w:footnote w:type="continuationSeparator" w:id="0">
    <w:p w14:paraId="378B435F" w14:textId="77777777" w:rsidR="00256612" w:rsidRDefault="00256612" w:rsidP="00863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DA7C" w14:textId="689FC4EF" w:rsidR="00863204" w:rsidRDefault="0086320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52EACD" wp14:editId="1A584683">
          <wp:simplePos x="0" y="0"/>
          <wp:positionH relativeFrom="column">
            <wp:posOffset>5360035</wp:posOffset>
          </wp:positionH>
          <wp:positionV relativeFrom="paragraph">
            <wp:posOffset>-63500</wp:posOffset>
          </wp:positionV>
          <wp:extent cx="402590" cy="262890"/>
          <wp:effectExtent l="0" t="0" r="3810" b="3810"/>
          <wp:wrapThrough wrapText="bothSides">
            <wp:wrapPolygon edited="0">
              <wp:start x="4088" y="0"/>
              <wp:lineTo x="0" y="1043"/>
              <wp:lineTo x="0" y="9391"/>
              <wp:lineTo x="4088" y="16696"/>
              <wp:lineTo x="4088" y="20870"/>
              <wp:lineTo x="21123" y="20870"/>
              <wp:lineTo x="21123" y="2087"/>
              <wp:lineTo x="8858" y="0"/>
              <wp:lineTo x="4088" y="0"/>
            </wp:wrapPolygon>
          </wp:wrapThrough>
          <wp:docPr id="472795899" name="Grafik 1" descr="Das neue Schweizer Praxismodell für Selbstständ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s neue Schweizer Praxismodell für Selbstständi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04"/>
    <w:rsid w:val="00174D5B"/>
    <w:rsid w:val="0022783A"/>
    <w:rsid w:val="00256612"/>
    <w:rsid w:val="004517BF"/>
    <w:rsid w:val="00457D6A"/>
    <w:rsid w:val="00540EB6"/>
    <w:rsid w:val="005EA1DF"/>
    <w:rsid w:val="00863204"/>
    <w:rsid w:val="008E1883"/>
    <w:rsid w:val="00A64472"/>
    <w:rsid w:val="00AA6036"/>
    <w:rsid w:val="00AE1E7A"/>
    <w:rsid w:val="00F74889"/>
    <w:rsid w:val="5002AFAB"/>
    <w:rsid w:val="60A65E9E"/>
    <w:rsid w:val="6A3E1EDB"/>
    <w:rsid w:val="7B07A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151194"/>
  <w15:chartTrackingRefBased/>
  <w15:docId w15:val="{488DF7BA-9E04-BC46-9ECC-3E36FFAD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204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63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3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3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3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3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32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32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32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32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3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3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3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320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320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320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320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320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32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63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3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3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3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63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320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6320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6320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3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320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6320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632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204"/>
  </w:style>
  <w:style w:type="paragraph" w:styleId="Fuzeile">
    <w:name w:val="footer"/>
    <w:basedOn w:val="Standard"/>
    <w:link w:val="FuzeileZchn"/>
    <w:uiPriority w:val="99"/>
    <w:unhideWhenUsed/>
    <w:rsid w:val="008632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204"/>
  </w:style>
  <w:style w:type="character" w:styleId="Seitenzahl">
    <w:name w:val="page number"/>
    <w:basedOn w:val="Absatz-Standardschriftart"/>
    <w:uiPriority w:val="99"/>
    <w:semiHidden/>
    <w:unhideWhenUsed/>
    <w:rsid w:val="00863204"/>
  </w:style>
  <w:style w:type="paragraph" w:customStyle="1" w:styleId="paragraph">
    <w:name w:val="paragraph"/>
    <w:basedOn w:val="Standard"/>
    <w:rsid w:val="0086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contentcontrolboundarysink">
    <w:name w:val="contentcontrolboundarysink"/>
    <w:basedOn w:val="Absatz-Standardschriftart"/>
    <w:rsid w:val="00863204"/>
  </w:style>
  <w:style w:type="character" w:customStyle="1" w:styleId="scxw123682405">
    <w:name w:val="scxw123682405"/>
    <w:basedOn w:val="Absatz-Standardschriftart"/>
    <w:rsid w:val="00863204"/>
  </w:style>
  <w:style w:type="character" w:customStyle="1" w:styleId="eop">
    <w:name w:val="eop"/>
    <w:basedOn w:val="Absatz-Standardschriftart"/>
    <w:rsid w:val="00863204"/>
  </w:style>
  <w:style w:type="character" w:customStyle="1" w:styleId="normaltextrun">
    <w:name w:val="normaltextrun"/>
    <w:basedOn w:val="Absatz-Standardschriftart"/>
    <w:rsid w:val="00863204"/>
  </w:style>
  <w:style w:type="character" w:customStyle="1" w:styleId="tabchar">
    <w:name w:val="tabchar"/>
    <w:basedOn w:val="Absatz-Standardschriftart"/>
    <w:rsid w:val="00863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96fd79-98ba-4f65-8f1c-dd325b00f6f8">
      <Terms xmlns="http://schemas.microsoft.com/office/infopath/2007/PartnerControls"/>
    </lcf76f155ced4ddcb4097134ff3c332f>
    <TaxCatchAll xmlns="0b44a7fb-96c0-43ce-b64e-30896d2833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94FA53047014F89ABD98BB940B8ED" ma:contentTypeVersion="11" ma:contentTypeDescription="Ein neues Dokument erstellen." ma:contentTypeScope="" ma:versionID="9d237a070fd09dcdc5240a7d3c7babb7">
  <xsd:schema xmlns:xsd="http://www.w3.org/2001/XMLSchema" xmlns:xs="http://www.w3.org/2001/XMLSchema" xmlns:p="http://schemas.microsoft.com/office/2006/metadata/properties" xmlns:ns2="ca96fd79-98ba-4f65-8f1c-dd325b00f6f8" xmlns:ns3="0b44a7fb-96c0-43ce-b64e-30896d283378" targetNamespace="http://schemas.microsoft.com/office/2006/metadata/properties" ma:root="true" ma:fieldsID="1af983753e80105d89bc18c78bdda109" ns2:_="" ns3:_="">
    <xsd:import namespace="ca96fd79-98ba-4f65-8f1c-dd325b00f6f8"/>
    <xsd:import namespace="0b44a7fb-96c0-43ce-b64e-30896d283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6fd79-98ba-4f65-8f1c-dd325b00f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7d9b149-5699-408d-a1f7-8a04f3dbb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4a7fb-96c0-43ce-b64e-30896d2833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1f783a-91d1-4102-985f-37f13d6108ff}" ma:internalName="TaxCatchAll" ma:showField="CatchAllData" ma:web="0b44a7fb-96c0-43ce-b64e-30896d283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68457-EF4D-4D85-9992-F93AE16FAA0C}">
  <ds:schemaRefs>
    <ds:schemaRef ds:uri="http://schemas.microsoft.com/office/2006/metadata/properties"/>
    <ds:schemaRef ds:uri="http://schemas.microsoft.com/office/infopath/2007/PartnerControls"/>
    <ds:schemaRef ds:uri="ca96fd79-98ba-4f65-8f1c-dd325b00f6f8"/>
    <ds:schemaRef ds:uri="0b44a7fb-96c0-43ce-b64e-30896d283378"/>
  </ds:schemaRefs>
</ds:datastoreItem>
</file>

<file path=customXml/itemProps2.xml><?xml version="1.0" encoding="utf-8"?>
<ds:datastoreItem xmlns:ds="http://schemas.openxmlformats.org/officeDocument/2006/customXml" ds:itemID="{0455824B-A5CD-4AD5-A2C8-BFBA5EEAD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FA41F-EA07-4ED6-80EF-0047F7BE6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6fd79-98ba-4f65-8f1c-dd325b00f6f8"/>
    <ds:schemaRef ds:uri="0b44a7fb-96c0-43ce-b64e-30896d283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Balmer</dc:creator>
  <cp:keywords/>
  <dc:description/>
  <cp:lastModifiedBy>Kim Balmer</cp:lastModifiedBy>
  <cp:revision>8</cp:revision>
  <dcterms:created xsi:type="dcterms:W3CDTF">2025-02-10T16:06:00Z</dcterms:created>
  <dcterms:modified xsi:type="dcterms:W3CDTF">2025-03-11T14:26:00Z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0x010100EF394FA53047014F89ABD98BB940B8ED</vt:lpwstr>
  </property>
  <property fmtid="{D5CDD505-2E9C-101B-9397-08002B2CF9AE}" pid="3" name="MediaServiceImageTags">
    <vt:lpwstr/>
  </property>
</Properties>
</file>